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jc w:val="center"/>
        <w:rPr>
          <w:rFonts w:hint="eastAsia" w:ascii="黑体" w:hAnsi="黑体" w:eastAsia="黑体" w:cs="黑体"/>
          <w:sz w:val="52"/>
          <w:szCs w:val="52"/>
        </w:rPr>
      </w:pPr>
      <w:r>
        <w:rPr>
          <w:rFonts w:hint="eastAsia" w:ascii="黑体" w:hAnsi="黑体" w:eastAsia="黑体" w:cs="黑体"/>
          <w:sz w:val="52"/>
          <w:szCs w:val="52"/>
        </w:rPr>
        <w:t>20</w:t>
      </w:r>
      <w:r>
        <w:rPr>
          <w:rFonts w:hint="eastAsia" w:ascii="黑体" w:hAnsi="黑体" w:eastAsia="黑体" w:cs="黑体"/>
          <w:sz w:val="52"/>
          <w:szCs w:val="52"/>
          <w:lang w:val="en-US" w:eastAsia="zh-CN"/>
        </w:rPr>
        <w:t>20</w:t>
      </w:r>
      <w:r>
        <w:rPr>
          <w:rFonts w:hint="eastAsia" w:ascii="黑体" w:hAnsi="黑体" w:eastAsia="黑体" w:cs="黑体"/>
          <w:sz w:val="52"/>
          <w:szCs w:val="52"/>
        </w:rPr>
        <w:t>年度</w:t>
      </w:r>
    </w:p>
    <w:p>
      <w:pPr>
        <w:jc w:val="center"/>
        <w:rPr>
          <w:rFonts w:hint="eastAsia" w:ascii="黑体" w:hAnsi="黑体" w:eastAsia="黑体" w:cs="黑体"/>
          <w:sz w:val="52"/>
          <w:szCs w:val="52"/>
        </w:rPr>
      </w:pPr>
      <w:r>
        <w:rPr>
          <w:rFonts w:hint="eastAsia" w:ascii="黑体" w:hAnsi="黑体" w:eastAsia="黑体" w:cs="黑体"/>
          <w:sz w:val="52"/>
          <w:szCs w:val="52"/>
          <w:lang w:eastAsia="zh-CN"/>
        </w:rPr>
        <w:t>范县城关镇人民政府</w:t>
      </w:r>
      <w:r>
        <w:rPr>
          <w:rFonts w:hint="eastAsia" w:ascii="黑体" w:hAnsi="黑体" w:eastAsia="黑体" w:cs="黑体"/>
          <w:sz w:val="52"/>
          <w:szCs w:val="52"/>
        </w:rPr>
        <w:t>部门决算</w:t>
      </w:r>
    </w:p>
    <w:p>
      <w:pPr>
        <w:jc w:val="center"/>
        <w:rPr>
          <w:rFonts w:hint="eastAsia" w:ascii="黑体" w:hAnsi="黑体" w:eastAsia="黑体" w:cs="黑体"/>
          <w:sz w:val="52"/>
          <w:szCs w:val="52"/>
        </w:rPr>
      </w:pPr>
    </w:p>
    <w:p>
      <w:pPr>
        <w:jc w:val="center"/>
        <w:rPr>
          <w:rFonts w:hint="eastAsia" w:ascii="黑体" w:hAnsi="黑体" w:eastAsia="黑体" w:cs="黑体"/>
          <w:sz w:val="52"/>
          <w:szCs w:val="52"/>
        </w:rPr>
      </w:pPr>
    </w:p>
    <w:p>
      <w:pPr>
        <w:jc w:val="center"/>
        <w:rPr>
          <w:rFonts w:hint="eastAsia" w:ascii="黑体" w:hAnsi="黑体" w:eastAsia="黑体" w:cs="黑体"/>
          <w:sz w:val="52"/>
          <w:szCs w:val="52"/>
        </w:rPr>
      </w:pPr>
    </w:p>
    <w:p>
      <w:pPr>
        <w:jc w:val="center"/>
        <w:rPr>
          <w:rFonts w:hint="eastAsia" w:ascii="黑体" w:hAnsi="黑体" w:eastAsia="黑体" w:cs="黑体"/>
          <w:sz w:val="52"/>
          <w:szCs w:val="52"/>
        </w:rPr>
      </w:pPr>
    </w:p>
    <w:p>
      <w:pPr>
        <w:jc w:val="center"/>
        <w:rPr>
          <w:rFonts w:hint="eastAsia" w:ascii="黑体" w:hAnsi="黑体" w:eastAsia="黑体" w:cs="黑体"/>
          <w:sz w:val="52"/>
          <w:szCs w:val="52"/>
        </w:rPr>
      </w:pPr>
    </w:p>
    <w:p>
      <w:pPr>
        <w:jc w:val="center"/>
        <w:rPr>
          <w:rFonts w:hint="eastAsia" w:ascii="黑体" w:hAnsi="黑体" w:eastAsia="黑体" w:cs="黑体"/>
          <w:sz w:val="52"/>
          <w:szCs w:val="52"/>
        </w:rPr>
      </w:pPr>
    </w:p>
    <w:p>
      <w:pPr>
        <w:jc w:val="center"/>
        <w:rPr>
          <w:rFonts w:hint="eastAsia" w:ascii="黑体" w:hAnsi="黑体" w:eastAsia="黑体" w:cs="黑体"/>
          <w:sz w:val="32"/>
          <w:szCs w:val="32"/>
          <w:lang w:eastAsia="zh-CN"/>
        </w:rPr>
        <w:sectPr>
          <w:pgSz w:w="11906" w:h="16838"/>
          <w:pgMar w:top="1440" w:right="1531" w:bottom="1440" w:left="1587" w:header="850" w:footer="992" w:gutter="0"/>
          <w:pgNumType w:fmt="numberInDash"/>
          <w:cols w:space="720" w:num="1"/>
          <w:docGrid w:type="lines" w:linePitch="317" w:charSpace="0"/>
        </w:sectPr>
      </w:pPr>
      <w:r>
        <w:rPr>
          <w:rFonts w:hint="eastAsia" w:ascii="黑体" w:hAnsi="黑体" w:eastAsia="黑体" w:cs="黑体"/>
          <w:sz w:val="32"/>
          <w:szCs w:val="32"/>
        </w:rPr>
        <w:t>二〇二</w:t>
      </w:r>
      <w:r>
        <w:rPr>
          <w:rFonts w:hint="eastAsia" w:ascii="黑体" w:hAnsi="黑体" w:eastAsia="黑体" w:cs="黑体"/>
          <w:sz w:val="32"/>
          <w:szCs w:val="32"/>
          <w:lang w:eastAsia="zh-CN"/>
        </w:rPr>
        <w:t>一</w:t>
      </w:r>
      <w:r>
        <w:rPr>
          <w:rFonts w:hint="eastAsia" w:ascii="黑体" w:hAnsi="黑体" w:eastAsia="黑体" w:cs="黑体"/>
          <w:sz w:val="32"/>
          <w:szCs w:val="32"/>
        </w:rPr>
        <w:t>年</w:t>
      </w:r>
      <w:r>
        <w:rPr>
          <w:rFonts w:hint="eastAsia" w:ascii="黑体" w:hAnsi="黑体" w:eastAsia="黑体" w:cs="黑体"/>
          <w:sz w:val="32"/>
          <w:szCs w:val="32"/>
          <w:highlight w:val="yellow"/>
          <w:lang w:eastAsia="zh-CN"/>
        </w:rPr>
        <w:t>十一</w:t>
      </w:r>
      <w:r>
        <w:rPr>
          <w:rFonts w:hint="eastAsia" w:ascii="黑体" w:hAnsi="黑体" w:eastAsia="黑体" w:cs="黑体"/>
          <w:sz w:val="32"/>
          <w:szCs w:val="32"/>
          <w:highlight w:val="yellow"/>
        </w:rPr>
        <w:t>月</w:t>
      </w:r>
      <w:r>
        <w:rPr>
          <w:rFonts w:hint="eastAsia" w:ascii="黑体" w:hAnsi="黑体" w:eastAsia="黑体" w:cs="黑体"/>
          <w:sz w:val="32"/>
          <w:szCs w:val="32"/>
          <w:highlight w:val="yellow"/>
          <w:lang w:eastAsia="zh-CN"/>
        </w:rPr>
        <w:t>四日</w:t>
      </w:r>
    </w:p>
    <w:p>
      <w:pPr>
        <w:jc w:val="center"/>
        <w:rPr>
          <w:rFonts w:ascii="黑体" w:hAnsi="黑体" w:eastAsia="黑体" w:cs="黑体"/>
          <w:sz w:val="36"/>
          <w:szCs w:val="36"/>
        </w:rPr>
      </w:pPr>
      <w:r>
        <w:rPr>
          <w:rFonts w:hint="eastAsia" w:ascii="黑体" w:hAnsi="黑体" w:eastAsia="黑体" w:cs="黑体"/>
          <w:sz w:val="36"/>
          <w:szCs w:val="36"/>
        </w:rPr>
        <w:t>目　　录</w:t>
      </w:r>
    </w:p>
    <w:p>
      <w:pPr>
        <w:jc w:val="left"/>
        <w:rPr>
          <w:rFonts w:ascii="黑体" w:hAnsi="黑体" w:eastAsia="黑体" w:cs="黑体"/>
          <w:sz w:val="32"/>
          <w:szCs w:val="32"/>
        </w:rPr>
      </w:pPr>
      <w:r>
        <w:rPr>
          <w:rFonts w:hint="eastAsia" w:ascii="黑体" w:hAnsi="黑体" w:eastAsia="黑体" w:cs="黑体"/>
          <w:sz w:val="32"/>
          <w:szCs w:val="32"/>
        </w:rPr>
        <w:t>第一部分　　</w:t>
      </w:r>
      <w:r>
        <w:rPr>
          <w:rFonts w:hint="eastAsia" w:ascii="黑体" w:hAnsi="黑体" w:eastAsia="黑体" w:cs="黑体"/>
          <w:sz w:val="32"/>
          <w:szCs w:val="32"/>
          <w:lang w:eastAsia="zh-CN"/>
        </w:rPr>
        <w:t>范县人民政府</w:t>
      </w:r>
      <w:r>
        <w:rPr>
          <w:rFonts w:hint="eastAsia" w:ascii="黑体" w:hAnsi="黑体" w:eastAsia="黑体" w:cs="黑体"/>
          <w:sz w:val="32"/>
          <w:szCs w:val="32"/>
        </w:rPr>
        <w:t>概况</w:t>
      </w:r>
    </w:p>
    <w:p>
      <w:pPr>
        <w:numPr>
          <w:ilvl w:val="0"/>
          <w:numId w:val="1"/>
        </w:numPr>
        <w:ind w:firstLine="640" w:firstLineChars="200"/>
        <w:jc w:val="left"/>
        <w:rPr>
          <w:rFonts w:ascii="宋体" w:hAnsi="宋体" w:cs="宋体"/>
          <w:sz w:val="32"/>
          <w:szCs w:val="32"/>
        </w:rPr>
      </w:pPr>
      <w:r>
        <w:rPr>
          <w:rFonts w:hint="eastAsia" w:ascii="宋体" w:hAnsi="宋体" w:cs="宋体"/>
          <w:sz w:val="32"/>
          <w:szCs w:val="32"/>
        </w:rPr>
        <w:t>部门职责</w:t>
      </w:r>
    </w:p>
    <w:p>
      <w:pPr>
        <w:numPr>
          <w:ilvl w:val="0"/>
          <w:numId w:val="1"/>
        </w:numPr>
        <w:ind w:firstLine="640" w:firstLineChars="200"/>
        <w:jc w:val="left"/>
        <w:rPr>
          <w:rFonts w:ascii="宋体" w:hAnsi="宋体" w:cs="宋体"/>
          <w:sz w:val="32"/>
          <w:szCs w:val="32"/>
        </w:rPr>
      </w:pPr>
      <w:r>
        <w:rPr>
          <w:rFonts w:hint="eastAsia" w:ascii="宋体" w:hAnsi="宋体" w:cs="宋体"/>
          <w:sz w:val="32"/>
          <w:szCs w:val="32"/>
        </w:rPr>
        <w:t>机构设置</w:t>
      </w:r>
    </w:p>
    <w:p>
      <w:pPr>
        <w:jc w:val="left"/>
        <w:rPr>
          <w:rFonts w:ascii="黑体" w:hAnsi="黑体" w:eastAsia="黑体" w:cs="黑体"/>
          <w:sz w:val="32"/>
          <w:szCs w:val="32"/>
        </w:rPr>
      </w:pPr>
      <w:r>
        <w:rPr>
          <w:rFonts w:hint="eastAsia" w:ascii="黑体" w:hAnsi="黑体" w:eastAsia="黑体" w:cs="黑体"/>
          <w:sz w:val="32"/>
          <w:szCs w:val="32"/>
        </w:rPr>
        <w:t>第二部分　　20</w:t>
      </w:r>
      <w:r>
        <w:rPr>
          <w:rFonts w:hint="eastAsia" w:ascii="黑体" w:hAnsi="黑体" w:eastAsia="黑体" w:cs="黑体"/>
          <w:sz w:val="32"/>
          <w:szCs w:val="32"/>
          <w:lang w:val="en-US" w:eastAsia="zh-CN"/>
        </w:rPr>
        <w:t>20</w:t>
      </w:r>
      <w:r>
        <w:rPr>
          <w:rFonts w:hint="eastAsia" w:ascii="黑体" w:hAnsi="黑体" w:eastAsia="黑体" w:cs="黑体"/>
          <w:sz w:val="32"/>
          <w:szCs w:val="32"/>
        </w:rPr>
        <w:t>年度部门决算表</w:t>
      </w:r>
    </w:p>
    <w:p>
      <w:pPr>
        <w:ind w:firstLine="640" w:firstLineChars="200"/>
        <w:jc w:val="left"/>
        <w:rPr>
          <w:rFonts w:ascii="宋体" w:hAnsi="宋体" w:cs="宋体"/>
          <w:sz w:val="32"/>
          <w:szCs w:val="32"/>
        </w:rPr>
      </w:pPr>
      <w:r>
        <w:rPr>
          <w:rFonts w:hint="eastAsia" w:ascii="宋体" w:hAnsi="宋体" w:cs="宋体"/>
          <w:sz w:val="32"/>
          <w:szCs w:val="32"/>
        </w:rPr>
        <w:t>一、收入支出决算总表</w:t>
      </w:r>
    </w:p>
    <w:p>
      <w:pPr>
        <w:ind w:firstLine="640" w:firstLineChars="200"/>
        <w:jc w:val="left"/>
        <w:rPr>
          <w:rFonts w:ascii="宋体" w:hAnsi="宋体" w:cs="宋体"/>
          <w:sz w:val="32"/>
          <w:szCs w:val="32"/>
        </w:rPr>
      </w:pPr>
      <w:r>
        <w:rPr>
          <w:rFonts w:hint="eastAsia" w:ascii="宋体" w:hAnsi="宋体" w:cs="宋体"/>
          <w:sz w:val="32"/>
          <w:szCs w:val="32"/>
        </w:rPr>
        <w:t>二、收入决算表</w:t>
      </w:r>
    </w:p>
    <w:p>
      <w:pPr>
        <w:ind w:firstLine="640" w:firstLineChars="200"/>
        <w:jc w:val="left"/>
        <w:rPr>
          <w:rFonts w:hint="eastAsia" w:ascii="宋体" w:hAnsi="宋体" w:cs="宋体"/>
          <w:sz w:val="32"/>
          <w:szCs w:val="32"/>
        </w:rPr>
      </w:pPr>
      <w:r>
        <w:rPr>
          <w:rFonts w:hint="eastAsia" w:ascii="宋体" w:hAnsi="宋体" w:cs="宋体"/>
          <w:sz w:val="32"/>
          <w:szCs w:val="32"/>
        </w:rPr>
        <w:t>三、支出决算表</w:t>
      </w:r>
    </w:p>
    <w:p>
      <w:pPr>
        <w:ind w:firstLine="640" w:firstLineChars="200"/>
        <w:jc w:val="left"/>
        <w:rPr>
          <w:rFonts w:hint="eastAsia" w:ascii="宋体" w:hAnsi="宋体" w:cs="宋体"/>
          <w:sz w:val="32"/>
          <w:szCs w:val="32"/>
        </w:rPr>
      </w:pPr>
      <w:r>
        <w:rPr>
          <w:rFonts w:hint="eastAsia" w:ascii="宋体" w:hAnsi="宋体" w:cs="宋体"/>
          <w:sz w:val="32"/>
          <w:szCs w:val="32"/>
        </w:rPr>
        <w:t>四、财政拨款收入支出决算总表</w:t>
      </w:r>
    </w:p>
    <w:p>
      <w:pPr>
        <w:ind w:firstLine="640" w:firstLineChars="200"/>
        <w:jc w:val="left"/>
        <w:rPr>
          <w:rFonts w:hint="eastAsia" w:ascii="宋体" w:hAnsi="宋体" w:cs="宋体"/>
          <w:sz w:val="32"/>
          <w:szCs w:val="32"/>
        </w:rPr>
      </w:pPr>
      <w:r>
        <w:rPr>
          <w:rFonts w:hint="eastAsia" w:ascii="宋体" w:hAnsi="宋体" w:cs="宋体"/>
          <w:sz w:val="32"/>
          <w:szCs w:val="32"/>
        </w:rPr>
        <w:t>五、一般公共预算财政拨款支出决算表</w:t>
      </w:r>
    </w:p>
    <w:p>
      <w:pPr>
        <w:ind w:firstLine="640" w:firstLineChars="200"/>
        <w:jc w:val="left"/>
        <w:rPr>
          <w:rFonts w:hint="eastAsia" w:ascii="宋体" w:hAnsi="宋体" w:cs="宋体"/>
          <w:sz w:val="32"/>
          <w:szCs w:val="32"/>
        </w:rPr>
      </w:pPr>
      <w:r>
        <w:rPr>
          <w:rFonts w:hint="eastAsia" w:ascii="宋体" w:hAnsi="宋体" w:cs="宋体"/>
          <w:sz w:val="32"/>
          <w:szCs w:val="32"/>
        </w:rPr>
        <w:t>六、一般公共预算财政拨款基本支出决算表</w:t>
      </w:r>
    </w:p>
    <w:p>
      <w:pPr>
        <w:ind w:firstLine="640" w:firstLineChars="200"/>
        <w:jc w:val="left"/>
        <w:rPr>
          <w:rFonts w:hint="eastAsia" w:ascii="宋体" w:hAnsi="宋体" w:cs="宋体"/>
          <w:sz w:val="32"/>
          <w:szCs w:val="32"/>
        </w:rPr>
      </w:pPr>
      <w:r>
        <w:rPr>
          <w:rFonts w:hint="eastAsia" w:ascii="宋体" w:hAnsi="宋体" w:cs="宋体"/>
          <w:sz w:val="32"/>
          <w:szCs w:val="32"/>
        </w:rPr>
        <w:t>七、一般公共预算财政拨款“三公”经费支出决算表</w:t>
      </w:r>
    </w:p>
    <w:p>
      <w:pPr>
        <w:ind w:firstLine="640" w:firstLineChars="200"/>
        <w:jc w:val="left"/>
        <w:rPr>
          <w:rFonts w:hint="eastAsia" w:ascii="宋体" w:hAnsi="宋体" w:cs="宋体"/>
          <w:sz w:val="32"/>
          <w:szCs w:val="32"/>
        </w:rPr>
      </w:pPr>
      <w:r>
        <w:rPr>
          <w:rFonts w:hint="eastAsia" w:ascii="宋体" w:hAnsi="宋体" w:cs="宋体"/>
          <w:sz w:val="32"/>
          <w:szCs w:val="32"/>
        </w:rPr>
        <w:t>八、政府性基金预算财政拨款收入支出决算表</w:t>
      </w:r>
    </w:p>
    <w:p>
      <w:pPr>
        <w:jc w:val="left"/>
        <w:rPr>
          <w:rFonts w:hint="eastAsia" w:ascii="黑体" w:hAnsi="黑体" w:eastAsia="黑体" w:cs="黑体"/>
          <w:sz w:val="32"/>
          <w:szCs w:val="32"/>
        </w:rPr>
      </w:pPr>
      <w:r>
        <w:rPr>
          <w:rFonts w:hint="eastAsia" w:ascii="黑体" w:hAnsi="黑体" w:eastAsia="黑体" w:cs="黑体"/>
          <w:sz w:val="32"/>
          <w:szCs w:val="32"/>
        </w:rPr>
        <w:t>第三部分　　20</w:t>
      </w:r>
      <w:r>
        <w:rPr>
          <w:rFonts w:hint="eastAsia" w:ascii="黑体" w:hAnsi="黑体" w:eastAsia="黑体" w:cs="黑体"/>
          <w:sz w:val="32"/>
          <w:szCs w:val="32"/>
          <w:lang w:val="en-US" w:eastAsia="zh-CN"/>
        </w:rPr>
        <w:t>20</w:t>
      </w:r>
      <w:r>
        <w:rPr>
          <w:rFonts w:hint="eastAsia" w:ascii="黑体" w:hAnsi="黑体" w:eastAsia="黑体" w:cs="黑体"/>
          <w:sz w:val="32"/>
          <w:szCs w:val="32"/>
        </w:rPr>
        <w:t>年度部门决算情况说明</w:t>
      </w:r>
    </w:p>
    <w:p>
      <w:pPr>
        <w:ind w:firstLine="640" w:firstLineChars="200"/>
        <w:jc w:val="left"/>
        <w:rPr>
          <w:rFonts w:hint="eastAsia" w:ascii="宋体" w:hAnsi="宋体" w:cs="宋体"/>
          <w:sz w:val="32"/>
          <w:szCs w:val="32"/>
        </w:rPr>
      </w:pPr>
      <w:r>
        <w:rPr>
          <w:rFonts w:hint="eastAsia" w:ascii="宋体" w:hAnsi="宋体" w:cs="宋体"/>
          <w:sz w:val="32"/>
          <w:szCs w:val="32"/>
        </w:rPr>
        <w:t>一、收入支出决算总体情况说明</w:t>
      </w:r>
    </w:p>
    <w:p>
      <w:pPr>
        <w:ind w:firstLine="640" w:firstLineChars="200"/>
        <w:jc w:val="left"/>
        <w:rPr>
          <w:rFonts w:hint="eastAsia" w:ascii="宋体" w:hAnsi="宋体" w:cs="宋体"/>
          <w:sz w:val="32"/>
          <w:szCs w:val="32"/>
        </w:rPr>
      </w:pPr>
      <w:r>
        <w:rPr>
          <w:rFonts w:hint="eastAsia" w:ascii="宋体" w:hAnsi="宋体" w:cs="宋体"/>
          <w:sz w:val="32"/>
          <w:szCs w:val="32"/>
        </w:rPr>
        <w:t>二、收入决算情况说明</w:t>
      </w:r>
    </w:p>
    <w:p>
      <w:pPr>
        <w:ind w:firstLine="640" w:firstLineChars="200"/>
        <w:jc w:val="left"/>
        <w:rPr>
          <w:rFonts w:hint="eastAsia" w:ascii="宋体" w:hAnsi="宋体" w:cs="宋体"/>
          <w:sz w:val="32"/>
          <w:szCs w:val="32"/>
        </w:rPr>
      </w:pPr>
      <w:r>
        <w:rPr>
          <w:rFonts w:hint="eastAsia" w:ascii="宋体" w:hAnsi="宋体" w:cs="宋体"/>
          <w:sz w:val="32"/>
          <w:szCs w:val="32"/>
        </w:rPr>
        <w:t>三、支出决算情况说明</w:t>
      </w:r>
    </w:p>
    <w:p>
      <w:pPr>
        <w:ind w:firstLine="640" w:firstLineChars="200"/>
        <w:jc w:val="left"/>
        <w:rPr>
          <w:rFonts w:hint="eastAsia" w:ascii="宋体" w:hAnsi="宋体" w:cs="宋体"/>
          <w:sz w:val="32"/>
          <w:szCs w:val="32"/>
        </w:rPr>
      </w:pPr>
      <w:r>
        <w:rPr>
          <w:rFonts w:hint="eastAsia" w:ascii="宋体" w:hAnsi="宋体" w:cs="宋体"/>
          <w:sz w:val="32"/>
          <w:szCs w:val="32"/>
        </w:rPr>
        <w:t>四、财政拨款收入支出决算总体情况说明</w:t>
      </w:r>
    </w:p>
    <w:p>
      <w:pPr>
        <w:ind w:firstLine="640" w:firstLineChars="200"/>
        <w:jc w:val="left"/>
        <w:rPr>
          <w:rFonts w:hint="eastAsia" w:ascii="宋体" w:hAnsi="宋体" w:cs="宋体"/>
          <w:sz w:val="32"/>
          <w:szCs w:val="32"/>
        </w:rPr>
      </w:pPr>
      <w:r>
        <w:rPr>
          <w:rFonts w:hint="eastAsia" w:ascii="宋体" w:hAnsi="宋体" w:cs="宋体"/>
          <w:sz w:val="32"/>
          <w:szCs w:val="32"/>
        </w:rPr>
        <w:t>五、一般公共预算财政拨款支出决算情况说明</w:t>
      </w:r>
    </w:p>
    <w:p>
      <w:pPr>
        <w:ind w:firstLine="640" w:firstLineChars="200"/>
        <w:jc w:val="left"/>
        <w:rPr>
          <w:rFonts w:hint="eastAsia" w:ascii="宋体" w:hAnsi="宋体" w:cs="宋体"/>
          <w:sz w:val="32"/>
          <w:szCs w:val="32"/>
        </w:rPr>
      </w:pPr>
      <w:r>
        <w:rPr>
          <w:rFonts w:hint="eastAsia" w:ascii="宋体" w:hAnsi="宋体" w:cs="宋体"/>
          <w:sz w:val="32"/>
          <w:szCs w:val="32"/>
        </w:rPr>
        <w:t>六、一般公共预算财政拨款基本支出决算情况说明</w:t>
      </w:r>
    </w:p>
    <w:p>
      <w:pPr>
        <w:ind w:firstLine="640" w:firstLineChars="200"/>
        <w:jc w:val="left"/>
        <w:rPr>
          <w:rFonts w:hint="eastAsia" w:ascii="宋体" w:hAnsi="宋体" w:cs="宋体"/>
          <w:sz w:val="32"/>
          <w:szCs w:val="32"/>
        </w:rPr>
      </w:pPr>
      <w:r>
        <w:rPr>
          <w:rFonts w:hint="eastAsia" w:ascii="宋体" w:hAnsi="宋体" w:cs="宋体"/>
          <w:sz w:val="32"/>
          <w:szCs w:val="32"/>
        </w:rPr>
        <w:t>七、一般公共预算财政拨款“三公”经费支出决算情况说明</w:t>
      </w:r>
    </w:p>
    <w:p>
      <w:pPr>
        <w:ind w:firstLine="640" w:firstLineChars="200"/>
        <w:jc w:val="left"/>
        <w:rPr>
          <w:rFonts w:hint="eastAsia" w:ascii="宋体" w:hAnsi="宋体" w:cs="宋体"/>
          <w:sz w:val="32"/>
          <w:szCs w:val="32"/>
        </w:rPr>
      </w:pPr>
      <w:r>
        <w:rPr>
          <w:rFonts w:hint="eastAsia" w:ascii="宋体" w:hAnsi="宋体" w:cs="宋体"/>
          <w:sz w:val="32"/>
          <w:szCs w:val="32"/>
        </w:rPr>
        <w:t>八、预算绩效情况说明</w:t>
      </w:r>
    </w:p>
    <w:p>
      <w:pPr>
        <w:ind w:firstLine="640" w:firstLineChars="200"/>
        <w:jc w:val="left"/>
        <w:rPr>
          <w:rFonts w:hint="eastAsia" w:ascii="宋体" w:hAnsi="宋体" w:cs="宋体"/>
          <w:sz w:val="32"/>
          <w:szCs w:val="32"/>
        </w:rPr>
      </w:pPr>
      <w:r>
        <w:rPr>
          <w:rFonts w:hint="eastAsia" w:ascii="宋体" w:hAnsi="宋体" w:cs="宋体"/>
          <w:sz w:val="32"/>
          <w:szCs w:val="32"/>
        </w:rPr>
        <w:t>九、政府性基金预算财政拨款支出决算情况说明</w:t>
      </w:r>
    </w:p>
    <w:p>
      <w:pPr>
        <w:ind w:firstLine="640" w:firstLineChars="200"/>
        <w:jc w:val="left"/>
        <w:rPr>
          <w:rFonts w:hint="eastAsia" w:ascii="宋体" w:hAnsi="宋体" w:cs="宋体"/>
          <w:sz w:val="32"/>
          <w:szCs w:val="32"/>
        </w:rPr>
      </w:pPr>
      <w:r>
        <w:rPr>
          <w:rFonts w:hint="eastAsia" w:ascii="宋体" w:hAnsi="宋体" w:cs="宋体"/>
          <w:sz w:val="32"/>
          <w:szCs w:val="32"/>
        </w:rPr>
        <w:t>十、机关运行经费支出情况说明</w:t>
      </w:r>
    </w:p>
    <w:p>
      <w:pPr>
        <w:ind w:firstLine="640" w:firstLineChars="200"/>
        <w:jc w:val="left"/>
        <w:rPr>
          <w:rFonts w:hint="eastAsia" w:ascii="宋体" w:hAnsi="宋体" w:cs="宋体"/>
          <w:sz w:val="32"/>
          <w:szCs w:val="32"/>
        </w:rPr>
      </w:pPr>
      <w:r>
        <w:rPr>
          <w:rFonts w:hint="eastAsia" w:ascii="宋体" w:hAnsi="宋体" w:cs="宋体"/>
          <w:sz w:val="32"/>
          <w:szCs w:val="32"/>
        </w:rPr>
        <w:t>十一、政府采购支出情况说明</w:t>
      </w:r>
    </w:p>
    <w:p>
      <w:pPr>
        <w:ind w:firstLine="640" w:firstLineChars="200"/>
        <w:jc w:val="left"/>
        <w:rPr>
          <w:rFonts w:hint="eastAsia" w:ascii="宋体" w:hAnsi="宋体" w:cs="宋体"/>
          <w:sz w:val="32"/>
          <w:szCs w:val="32"/>
        </w:rPr>
      </w:pPr>
      <w:r>
        <w:rPr>
          <w:rFonts w:hint="eastAsia" w:ascii="宋体" w:hAnsi="宋体" w:cs="宋体"/>
          <w:sz w:val="32"/>
          <w:szCs w:val="32"/>
        </w:rPr>
        <w:t>十二、国有资产占用情况说明</w:t>
      </w:r>
    </w:p>
    <w:p>
      <w:pPr>
        <w:jc w:val="left"/>
        <w:rPr>
          <w:rFonts w:hint="eastAsia" w:ascii="黑体" w:hAnsi="黑体" w:eastAsia="黑体" w:cs="黑体"/>
          <w:sz w:val="32"/>
          <w:szCs w:val="32"/>
        </w:rPr>
      </w:pPr>
      <w:r>
        <w:rPr>
          <w:rFonts w:hint="eastAsia" w:ascii="黑体" w:hAnsi="黑体" w:eastAsia="黑体" w:cs="黑体"/>
          <w:sz w:val="32"/>
          <w:szCs w:val="32"/>
        </w:rPr>
        <w:t>第四部分　　名词解释</w:t>
      </w:r>
    </w:p>
    <w:p>
      <w:pPr>
        <w:ind w:firstLine="640" w:firstLineChars="200"/>
        <w:jc w:val="left"/>
        <w:rPr>
          <w:rFonts w:ascii="宋体" w:hAnsi="宋体" w:cs="宋体"/>
          <w:sz w:val="32"/>
          <w:szCs w:val="32"/>
        </w:rPr>
      </w:pPr>
    </w:p>
    <w:p>
      <w:pPr>
        <w:jc w:val="left"/>
        <w:rPr>
          <w:rFonts w:hint="eastAsia" w:ascii="黑体" w:hAnsi="黑体" w:eastAsia="黑体" w:cs="黑体"/>
          <w:sz w:val="32"/>
          <w:szCs w:val="32"/>
        </w:rPr>
        <w:sectPr>
          <w:footerReference r:id="rId3" w:type="default"/>
          <w:footerReference r:id="rId4" w:type="even"/>
          <w:pgSz w:w="11906" w:h="16838"/>
          <w:pgMar w:top="1440" w:right="1531" w:bottom="1440" w:left="1587" w:header="850" w:footer="992" w:gutter="0"/>
          <w:pgNumType w:fmt="numberInDash" w:start="1"/>
          <w:cols w:space="720" w:num="1"/>
          <w:docGrid w:type="lines" w:linePitch="317" w:charSpace="0"/>
        </w:sect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center"/>
        <w:outlineLvl w:val="0"/>
        <w:rPr>
          <w:rFonts w:hint="eastAsia" w:ascii="黑体" w:hAnsi="黑体" w:eastAsia="黑体" w:cs="黑体"/>
          <w:sz w:val="48"/>
          <w:szCs w:val="48"/>
        </w:rPr>
      </w:pPr>
    </w:p>
    <w:p>
      <w:pPr>
        <w:widowControl/>
        <w:jc w:val="center"/>
        <w:outlineLvl w:val="0"/>
        <w:rPr>
          <w:rFonts w:hint="eastAsia" w:ascii="黑体" w:hAnsi="黑体" w:eastAsia="黑体" w:cs="黑体"/>
          <w:sz w:val="48"/>
          <w:szCs w:val="48"/>
        </w:rPr>
      </w:pPr>
    </w:p>
    <w:p>
      <w:pPr>
        <w:widowControl/>
        <w:jc w:val="center"/>
        <w:outlineLvl w:val="0"/>
        <w:rPr>
          <w:rFonts w:hint="eastAsia" w:ascii="黑体" w:hAnsi="黑体" w:eastAsia="黑体" w:cs="黑体"/>
          <w:sz w:val="48"/>
          <w:szCs w:val="48"/>
        </w:rPr>
      </w:pPr>
    </w:p>
    <w:p>
      <w:pPr>
        <w:widowControl/>
        <w:jc w:val="center"/>
        <w:outlineLvl w:val="0"/>
        <w:rPr>
          <w:rFonts w:hint="eastAsia" w:ascii="黑体" w:hAnsi="黑体" w:eastAsia="黑体" w:cs="黑体"/>
          <w:sz w:val="48"/>
          <w:szCs w:val="48"/>
        </w:rPr>
      </w:pPr>
    </w:p>
    <w:p>
      <w:pPr>
        <w:widowControl/>
        <w:jc w:val="center"/>
        <w:outlineLvl w:val="0"/>
        <w:rPr>
          <w:rFonts w:hint="eastAsia" w:ascii="黑体" w:hAnsi="宋体" w:eastAsia="黑体" w:cs="宋体"/>
          <w:kern w:val="0"/>
          <w:sz w:val="28"/>
          <w:szCs w:val="28"/>
        </w:rPr>
      </w:pPr>
      <w:r>
        <w:rPr>
          <w:rFonts w:hint="eastAsia" w:ascii="黑体" w:hAnsi="黑体" w:eastAsia="黑体" w:cs="黑体"/>
          <w:sz w:val="48"/>
          <w:szCs w:val="48"/>
        </w:rPr>
        <w:t xml:space="preserve">第一部分  </w:t>
      </w:r>
      <w:r>
        <w:rPr>
          <w:rFonts w:hint="eastAsia" w:ascii="黑体" w:hAnsi="黑体" w:eastAsia="黑体" w:cs="黑体"/>
          <w:sz w:val="48"/>
          <w:szCs w:val="48"/>
          <w:lang w:eastAsia="zh-CN"/>
        </w:rPr>
        <w:t>范县</w:t>
      </w:r>
      <w:r>
        <w:rPr>
          <w:rFonts w:hint="eastAsia" w:ascii="黑体" w:hAnsi="黑体" w:eastAsia="黑体" w:cs="黑体"/>
          <w:sz w:val="48"/>
          <w:szCs w:val="48"/>
          <w:lang w:val="en-US" w:eastAsia="zh-CN"/>
        </w:rPr>
        <w:t>城关镇</w:t>
      </w:r>
      <w:r>
        <w:rPr>
          <w:rFonts w:hint="eastAsia" w:ascii="黑体" w:hAnsi="黑体" w:eastAsia="黑体" w:cs="黑体"/>
          <w:sz w:val="48"/>
          <w:szCs w:val="48"/>
          <w:lang w:eastAsia="zh-CN"/>
        </w:rPr>
        <w:t>人民政府</w:t>
      </w:r>
      <w:r>
        <w:rPr>
          <w:rFonts w:hint="eastAsia" w:ascii="黑体" w:hAnsi="黑体" w:eastAsia="黑体" w:cs="黑体"/>
          <w:sz w:val="48"/>
          <w:szCs w:val="48"/>
        </w:rPr>
        <w:t>概况</w:t>
      </w: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sectPr>
          <w:pgSz w:w="11906" w:h="16838"/>
          <w:pgMar w:top="1440" w:right="1800" w:bottom="1440" w:left="1800" w:header="720" w:footer="720" w:gutter="0"/>
          <w:pgNumType w:fmt="numberInDash"/>
          <w:cols w:space="720" w:num="1"/>
          <w:docGrid w:type="lines" w:linePitch="312" w:charSpace="0"/>
        </w:sectPr>
      </w:pPr>
    </w:p>
    <w:p>
      <w:pPr>
        <w:widowControl/>
        <w:ind w:firstLine="640" w:firstLineChars="200"/>
        <w:jc w:val="left"/>
        <w:outlineLvl w:val="1"/>
        <w:rPr>
          <w:rFonts w:hint="eastAsia" w:ascii="黑体" w:hAnsi="黑体" w:eastAsia="黑体" w:cs="黑体"/>
          <w:kern w:val="0"/>
          <w:sz w:val="32"/>
          <w:szCs w:val="32"/>
        </w:rPr>
      </w:pPr>
      <w:r>
        <w:rPr>
          <w:rFonts w:hint="eastAsia" w:ascii="黑体" w:hAnsi="黑体" w:eastAsia="黑体" w:cs="黑体"/>
          <w:kern w:val="0"/>
          <w:sz w:val="32"/>
          <w:szCs w:val="32"/>
        </w:rPr>
        <w:t>一、部门</w:t>
      </w:r>
      <w:r>
        <w:rPr>
          <w:rFonts w:hint="eastAsia" w:ascii="黑体" w:hAnsi="黑体" w:eastAsia="黑体" w:cs="黑体"/>
          <w:bCs/>
          <w:sz w:val="32"/>
          <w:szCs w:val="32"/>
        </w:rPr>
        <w:t>职责</w:t>
      </w:r>
    </w:p>
    <w:p>
      <w:pPr>
        <w:numPr>
          <w:ilvl w:val="0"/>
          <w:numId w:val="2"/>
        </w:numPr>
        <w:topLinePunct/>
        <w:spacing w:beforeLines="0" w:afterLines="0" w:line="360" w:lineRule="auto"/>
        <w:rPr>
          <w:rFonts w:hint="default" w:ascii="仿宋_GB2312" w:hAnsi="仿宋_GB2312" w:eastAsia="仿宋_GB2312"/>
          <w:sz w:val="32"/>
        </w:rPr>
      </w:pPr>
      <w:r>
        <w:rPr>
          <w:rFonts w:hint="eastAsia" w:ascii="仿宋_GB2312" w:hAnsi="仿宋_GB2312" w:eastAsia="仿宋_GB2312"/>
          <w:sz w:val="32"/>
        </w:rPr>
        <w:t>执行本级人民代表大会的决议和上级国家行政机关的决定和命令，发布决定和命令；</w:t>
      </w:r>
    </w:p>
    <w:p>
      <w:pPr>
        <w:numPr>
          <w:ilvl w:val="0"/>
          <w:numId w:val="2"/>
        </w:numPr>
        <w:topLinePunct/>
        <w:spacing w:beforeLines="0" w:afterLines="0" w:line="360" w:lineRule="auto"/>
        <w:rPr>
          <w:rFonts w:hint="default" w:ascii="仿宋_GB2312" w:hAnsi="仿宋_GB2312" w:eastAsia="仿宋_GB2312"/>
          <w:sz w:val="32"/>
        </w:rPr>
      </w:pPr>
      <w:r>
        <w:rPr>
          <w:rFonts w:hint="eastAsia" w:ascii="仿宋_GB2312" w:hAnsi="仿宋_GB2312" w:eastAsia="仿宋_GB2312"/>
          <w:sz w:val="32"/>
        </w:rPr>
        <w:t>执行本级新在区域内的经济和社会发展计划、预算和管理本行政区域内的经济、教育、科学、文化、卫生、体育、事业和行政、民政、公安、司法行政、计划生育等行政工作；</w:t>
      </w:r>
    </w:p>
    <w:p>
      <w:pPr>
        <w:spacing w:line="600" w:lineRule="exact"/>
        <w:rPr>
          <w:rFonts w:hint="eastAsia" w:ascii="仿宋_GB2312" w:hAnsi="宋体" w:eastAsia="仿宋_GB2312" w:cs="宋体"/>
          <w:kern w:val="0"/>
          <w:sz w:val="32"/>
          <w:szCs w:val="32"/>
        </w:rPr>
      </w:pPr>
      <w:r>
        <w:rPr>
          <w:rFonts w:hint="eastAsia" w:ascii="仿宋_GB2312" w:hAnsi="仿宋_GB2312" w:eastAsia="仿宋_GB2312"/>
          <w:sz w:val="32"/>
          <w:lang w:eastAsia="zh-CN"/>
        </w:rPr>
        <w:t>（三）</w:t>
      </w:r>
      <w:r>
        <w:rPr>
          <w:rFonts w:hint="eastAsia" w:ascii="仿宋_GB2312" w:hAnsi="仿宋_GB2312" w:eastAsia="仿宋_GB2312"/>
          <w:sz w:val="32"/>
        </w:rPr>
        <w:t>保护社会主义的全面的所有的财产和劳动群众集体所有的财产，保护公民私人所有的合法财产，维护社会秩序，保障公民的人身权利、民主权利和其他权利。</w:t>
      </w:r>
    </w:p>
    <w:p>
      <w:pPr>
        <w:widowControl/>
        <w:ind w:firstLine="640" w:firstLineChars="200"/>
        <w:jc w:val="left"/>
        <w:outlineLvl w:val="1"/>
        <w:rPr>
          <w:rFonts w:hint="eastAsia" w:ascii="黑体" w:hAnsi="黑体" w:eastAsia="黑体" w:cs="黑体"/>
          <w:kern w:val="0"/>
          <w:sz w:val="32"/>
          <w:szCs w:val="32"/>
        </w:rPr>
      </w:pPr>
      <w:r>
        <w:rPr>
          <w:rFonts w:hint="eastAsia" w:ascii="黑体" w:hAnsi="黑体" w:eastAsia="黑体" w:cs="黑体"/>
          <w:kern w:val="0"/>
          <w:sz w:val="32"/>
          <w:szCs w:val="32"/>
        </w:rPr>
        <w:t>二、机构设置</w:t>
      </w:r>
    </w:p>
    <w:p>
      <w:pPr>
        <w:spacing w:beforeLines="0" w:afterLines="0"/>
        <w:ind w:firstLine="640" w:firstLineChars="200"/>
        <w:jc w:val="left"/>
        <w:rPr>
          <w:rFonts w:hint="eastAsia" w:ascii="仿宋_GB2312" w:hAnsi="仿宋_GB2312" w:eastAsia="仿宋_GB2312"/>
          <w:kern w:val="0"/>
          <w:sz w:val="32"/>
          <w:lang w:eastAsia="zh-CN"/>
        </w:rPr>
      </w:pPr>
      <w:r>
        <w:rPr>
          <w:rFonts w:hint="eastAsia" w:ascii="仿宋_GB2312" w:hAnsi="仿宋_GB2312" w:eastAsia="仿宋_GB2312"/>
          <w:sz w:val="32"/>
        </w:rPr>
        <w:t>河南省范县城关镇人民政府有预算单位5个。</w:t>
      </w:r>
      <w:r>
        <w:rPr>
          <w:rFonts w:hint="eastAsia" w:ascii="仿宋_GB2312" w:hAnsi="仿宋_GB2312" w:eastAsia="仿宋_GB2312"/>
          <w:kern w:val="0"/>
          <w:sz w:val="32"/>
        </w:rPr>
        <w:t>本决算为汇总决算，纳入本部门</w:t>
      </w:r>
      <w:r>
        <w:rPr>
          <w:rFonts w:hint="eastAsia" w:ascii="仿宋_GB2312" w:hAnsi="仿宋_GB2312" w:eastAsia="仿宋_GB2312"/>
          <w:kern w:val="0"/>
          <w:sz w:val="32"/>
          <w:lang w:val="en-US" w:eastAsia="zh-CN"/>
        </w:rPr>
        <w:t>2020</w:t>
      </w:r>
      <w:r>
        <w:rPr>
          <w:rFonts w:hint="eastAsia" w:ascii="仿宋_GB2312" w:hAnsi="仿宋_GB2312" w:eastAsia="仿宋_GB2312"/>
          <w:kern w:val="0"/>
          <w:sz w:val="32"/>
        </w:rPr>
        <w:t>年度部门决算编报范围的二级预算单位如下：</w:t>
      </w:r>
    </w:p>
    <w:p>
      <w:pPr>
        <w:spacing w:beforeLines="0" w:afterLines="0"/>
        <w:ind w:firstLine="320" w:firstLineChars="100"/>
        <w:rPr>
          <w:rFonts w:hint="default" w:ascii="仿宋_GB2312" w:hAnsi="仿宋_GB2312" w:eastAsia="仿宋_GB2312"/>
          <w:sz w:val="28"/>
        </w:rPr>
      </w:pPr>
      <w:r>
        <w:rPr>
          <w:rFonts w:hint="eastAsia" w:ascii="仿宋_GB2312" w:hAnsi="仿宋_GB2312" w:eastAsia="仿宋_GB2312"/>
          <w:sz w:val="32"/>
        </w:rPr>
        <w:t>河南省范县城关镇人民政府本级，城关镇文化服务中心、城关镇农业服务中心、城关镇计划生育服务中心、城关镇村镇建设服务服务中心。</w:t>
      </w: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jc w:val="center"/>
        <w:outlineLvl w:val="0"/>
        <w:rPr>
          <w:rFonts w:hint="eastAsia" w:ascii="黑体" w:hAnsi="黑体" w:eastAsia="黑体" w:cs="黑体"/>
          <w:sz w:val="48"/>
          <w:szCs w:val="48"/>
        </w:rPr>
      </w:pPr>
    </w:p>
    <w:p>
      <w:pPr>
        <w:jc w:val="center"/>
        <w:outlineLvl w:val="0"/>
        <w:rPr>
          <w:rFonts w:hint="eastAsia" w:ascii="黑体" w:hAnsi="黑体" w:eastAsia="黑体" w:cs="黑体"/>
          <w:sz w:val="48"/>
          <w:szCs w:val="48"/>
        </w:rPr>
      </w:pPr>
    </w:p>
    <w:p>
      <w:pPr>
        <w:jc w:val="center"/>
        <w:outlineLvl w:val="0"/>
        <w:rPr>
          <w:rFonts w:hint="eastAsia" w:ascii="黑体" w:hAnsi="黑体" w:eastAsia="黑体" w:cs="黑体"/>
          <w:sz w:val="48"/>
          <w:szCs w:val="48"/>
        </w:rPr>
      </w:pPr>
    </w:p>
    <w:p>
      <w:pPr>
        <w:jc w:val="center"/>
        <w:outlineLvl w:val="0"/>
        <w:rPr>
          <w:rFonts w:hint="eastAsia" w:ascii="黑体" w:hAnsi="黑体" w:eastAsia="黑体" w:cs="黑体"/>
          <w:sz w:val="48"/>
          <w:szCs w:val="48"/>
        </w:rPr>
      </w:pPr>
      <w:r>
        <w:rPr>
          <w:rFonts w:hint="eastAsia" w:ascii="黑体" w:hAnsi="黑体" w:eastAsia="黑体" w:cs="黑体"/>
          <w:sz w:val="48"/>
          <w:szCs w:val="48"/>
        </w:rPr>
        <w:t>第二部分  20</w:t>
      </w:r>
      <w:r>
        <w:rPr>
          <w:rFonts w:hint="eastAsia" w:ascii="黑体" w:hAnsi="黑体" w:eastAsia="黑体" w:cs="黑体"/>
          <w:sz w:val="48"/>
          <w:szCs w:val="48"/>
          <w:lang w:val="en-US" w:eastAsia="zh-CN"/>
        </w:rPr>
        <w:t>20</w:t>
      </w:r>
      <w:r>
        <w:rPr>
          <w:rFonts w:hint="eastAsia" w:ascii="黑体" w:hAnsi="黑体" w:eastAsia="黑体" w:cs="黑体"/>
          <w:sz w:val="48"/>
          <w:szCs w:val="48"/>
        </w:rPr>
        <w:t>年度部门决算表</w:t>
      </w: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sectPr>
          <w:pgSz w:w="11906" w:h="16838"/>
          <w:pgMar w:top="1440" w:right="1800" w:bottom="1440" w:left="1800" w:header="720" w:footer="720" w:gutter="0"/>
          <w:pgNumType w:fmt="numberInDash"/>
          <w:cols w:space="720" w:num="1"/>
          <w:docGrid w:type="lines" w:linePitch="312" w:charSpace="0"/>
        </w:sectPr>
      </w:pPr>
    </w:p>
    <w:p>
      <w:pPr>
        <w:rPr>
          <w:rFonts w:hint="eastAsia" w:ascii="仿宋_GB2312" w:hAnsi="仿宋_GB2312" w:eastAsia="仿宋_GB2312" w:cs="仿宋_GB2312"/>
          <w:sz w:val="32"/>
          <w:szCs w:val="32"/>
          <w:lang w:eastAsia="zh-CN"/>
        </w:rPr>
        <w:sectPr>
          <w:pgSz w:w="11906" w:h="16838"/>
          <w:pgMar w:top="1440" w:right="612" w:bottom="1440" w:left="612" w:header="720" w:footer="720" w:gutter="0"/>
          <w:pgNumType w:fmt="numberInDash"/>
          <w:cols w:space="0" w:num="1"/>
          <w:rtlGutter w:val="0"/>
          <w:docGrid w:type="lines" w:linePitch="312" w:charSpace="0"/>
        </w:sectPr>
      </w:pPr>
      <w:r>
        <w:rPr>
          <w:rFonts w:hint="eastAsia" w:ascii="仿宋_GB2312" w:hAnsi="仿宋_GB2312" w:eastAsia="仿宋_GB2312" w:cs="仿宋_GB2312"/>
          <w:sz w:val="32"/>
          <w:szCs w:val="32"/>
          <w:lang w:eastAsia="zh-CN"/>
        </w:rPr>
        <w:object>
          <v:shape id="_x0000_i1025" o:spt="75" type="#_x0000_t75" style="height:701.2pt;width:531.7pt;" o:ole="t" filled="f" o:preferrelative="t" stroked="f" coordsize="21600,21600">
            <v:path/>
            <v:fill on="f" focussize="0,0"/>
            <v:stroke on="f"/>
            <v:imagedata r:id="rId7" o:title=""/>
            <o:lock v:ext="edit" aspectratio="t"/>
            <w10:wrap type="none"/>
            <w10:anchorlock/>
          </v:shape>
          <o:OLEObject Type="Embed" ProgID="Office12.wks.Sheet.8" ShapeID="_x0000_i1025" DrawAspect="Content" ObjectID="_1468075725" r:id="rId6">
            <o:LockedField>false</o:LockedField>
          </o:OLEObject>
        </w:object>
      </w:r>
      <w:r>
        <w:rPr>
          <w:rFonts w:hint="eastAsia" w:ascii="仿宋_GB2312" w:hAnsi="仿宋_GB2312" w:eastAsia="仿宋_GB2312" w:cs="仿宋_GB2312"/>
          <w:sz w:val="32"/>
          <w:szCs w:val="32"/>
          <w:lang w:eastAsia="zh-CN"/>
        </w:rPr>
        <w:object>
          <v:shape id="_x0000_i1026" o:spt="75" type="#_x0000_t75" style="height:736.3pt;width:528.7pt;" o:ole="t" filled="f" o:preferrelative="t" stroked="f" coordsize="21600,21600">
            <v:path/>
            <v:fill on="f" focussize="0,0"/>
            <v:stroke on="f"/>
            <v:imagedata r:id="rId9" o:title=""/>
            <o:lock v:ext="edit" aspectratio="t"/>
            <w10:wrap type="none"/>
            <w10:anchorlock/>
          </v:shape>
          <o:OLEObject Type="Embed" ProgID="Office12.wks.Sheet.8" ShapeID="_x0000_i1026" DrawAspect="Content" ObjectID="_1468075726" r:id="rId8">
            <o:LockedField>false</o:LockedField>
          </o:OLEObject>
        </w:object>
      </w:r>
    </w:p>
    <w:p>
      <w:p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object>
          <v:shape id="_x0000_i1027" o:spt="75" type="#_x0000_t75" style="height:752.4pt;width:533.25pt;" o:ole="t" filled="f" o:preferrelative="t" stroked="f" coordsize="21600,21600">
            <v:path/>
            <v:fill on="f" focussize="0,0"/>
            <v:stroke on="f"/>
            <v:imagedata r:id="rId11" o:title=""/>
            <o:lock v:ext="edit" aspectratio="t"/>
            <w10:wrap type="none"/>
            <w10:anchorlock/>
          </v:shape>
          <o:OLEObject Type="Embed" ProgID="Office12.wks.Sheet.8" ShapeID="_x0000_i1027" DrawAspect="Content" ObjectID="_1468075727" r:id="rId10">
            <o:LockedField>false</o:LockedField>
          </o:OLEObject>
        </w:object>
      </w:r>
    </w:p>
    <w:p>
      <w:pPr>
        <w:rPr>
          <w:rFonts w:hint="eastAsia" w:ascii="仿宋_GB2312" w:hAnsi="仿宋_GB2312" w:eastAsia="仿宋_GB2312" w:cs="仿宋_GB2312"/>
          <w:sz w:val="32"/>
          <w:szCs w:val="32"/>
          <w:lang w:eastAsia="zh-CN"/>
        </w:rPr>
        <w:sectPr>
          <w:pgSz w:w="11906" w:h="16838"/>
          <w:pgMar w:top="1440" w:right="839" w:bottom="1440" w:left="669" w:header="720" w:footer="720" w:gutter="0"/>
          <w:pgNumType w:fmt="numberInDash"/>
          <w:cols w:space="0" w:num="1"/>
          <w:rtlGutter w:val="0"/>
          <w:docGrid w:type="lines" w:linePitch="312" w:charSpace="0"/>
        </w:sectPr>
      </w:pPr>
      <w:r>
        <w:rPr>
          <w:rFonts w:hint="eastAsia" w:ascii="仿宋_GB2312" w:hAnsi="仿宋_GB2312" w:eastAsia="仿宋_GB2312" w:cs="仿宋_GB2312"/>
          <w:sz w:val="32"/>
          <w:szCs w:val="32"/>
          <w:lang w:eastAsia="zh-CN"/>
        </w:rPr>
        <w:object>
          <v:shape id="_x0000_i1028" o:spt="75" type="#_x0000_t75" style="height:470.75pt;width:537.65pt;" o:ole="t" filled="f" o:preferrelative="t" stroked="f" coordsize="21600,21600">
            <v:path/>
            <v:fill on="f" focussize="0,0"/>
            <v:stroke on="f"/>
            <v:imagedata r:id="rId13" o:title=""/>
            <o:lock v:ext="edit" aspectratio="t"/>
            <w10:wrap type="none"/>
            <w10:anchorlock/>
          </v:shape>
          <o:OLEObject Type="Embed" ProgID="Office12.wks.Sheet.8" ShapeID="_x0000_i1028" DrawAspect="Content" ObjectID="_1468075728" r:id="rId12">
            <o:LockedField>false</o:LockedField>
          </o:OLEObject>
        </w:object>
      </w:r>
    </w:p>
    <w:p>
      <w:pPr>
        <w:rPr>
          <w:rFonts w:hint="eastAsia" w:ascii="仿宋_GB2312" w:hAnsi="仿宋_GB2312" w:eastAsia="仿宋_GB2312" w:cs="仿宋_GB2312"/>
          <w:sz w:val="32"/>
          <w:szCs w:val="32"/>
          <w:lang w:eastAsia="zh-CN"/>
        </w:rPr>
        <w:sectPr>
          <w:pgSz w:w="11906" w:h="16838"/>
          <w:pgMar w:top="1440" w:right="952" w:bottom="1440" w:left="952" w:header="720" w:footer="720" w:gutter="0"/>
          <w:pgNumType w:fmt="numberInDash"/>
          <w:cols w:space="0" w:num="1"/>
          <w:rtlGutter w:val="0"/>
          <w:docGrid w:type="lines" w:linePitch="312" w:charSpace="0"/>
        </w:sectPr>
      </w:pPr>
      <w:r>
        <w:rPr>
          <w:rFonts w:hint="eastAsia" w:ascii="仿宋_GB2312" w:hAnsi="仿宋_GB2312" w:eastAsia="仿宋_GB2312" w:cs="仿宋_GB2312"/>
          <w:sz w:val="32"/>
          <w:szCs w:val="32"/>
          <w:lang w:eastAsia="zh-CN"/>
        </w:rPr>
        <w:object>
          <v:shape id="_x0000_i1029" o:spt="75" type="#_x0000_t75" style="height:723.4pt;width:531.75pt;" o:ole="t" filled="f" o:preferrelative="t" stroked="f" coordsize="21600,21600">
            <v:path/>
            <v:fill on="f" focussize="0,0"/>
            <v:stroke on="f"/>
            <v:imagedata r:id="rId15" o:title=""/>
            <o:lock v:ext="edit" aspectratio="t"/>
            <w10:wrap type="none"/>
            <w10:anchorlock/>
          </v:shape>
          <o:OLEObject Type="Embed" ProgID="Office12.wks.Sheet.8" ShapeID="_x0000_i1029" DrawAspect="Content" ObjectID="_1468075729" r:id="rId14">
            <o:LockedField>false</o:LockedField>
          </o:OLEObject>
        </w:object>
      </w:r>
      <w:r>
        <w:rPr>
          <w:rFonts w:hint="eastAsia" w:ascii="仿宋_GB2312" w:hAnsi="仿宋_GB2312" w:eastAsia="仿宋_GB2312" w:cs="仿宋_GB2312"/>
          <w:sz w:val="32"/>
          <w:szCs w:val="32"/>
          <w:lang w:eastAsia="zh-CN"/>
        </w:rPr>
        <w:object>
          <v:shape id="_x0000_i1030" o:spt="75" type="#_x0000_t75" style="height:551.35pt;width:497.95pt;" o:ole="t" filled="f" o:preferrelative="t" stroked="f" coordsize="21600,21600">
            <v:path/>
            <v:fill on="f" focussize="0,0"/>
            <v:stroke on="f"/>
            <v:imagedata r:id="rId17" o:title=""/>
            <o:lock v:ext="edit" aspectratio="t"/>
            <w10:wrap type="none"/>
            <w10:anchorlock/>
          </v:shape>
          <o:OLEObject Type="Embed" ProgID="Office12.wks.Sheet.8" ShapeID="_x0000_i1030" DrawAspect="Content" ObjectID="_1468075730" r:id="rId16">
            <o:LockedField>false</o:LockedField>
          </o:OLEObject>
        </w:object>
      </w:r>
    </w:p>
    <w:p>
      <w:p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object>
          <v:shape id="_x0000_i1033" o:spt="75" type="#_x0000_t75" style="height:362.15pt;width:675.9pt;" o:ole="t" filled="f" o:preferrelative="t" stroked="f" coordsize="21600,21600">
            <v:path/>
            <v:fill on="f" focussize="0,0"/>
            <v:stroke on="f"/>
            <v:imagedata r:id="rId19" o:title=""/>
            <o:lock v:ext="edit" aspectratio="t"/>
            <w10:wrap type="none"/>
            <w10:anchorlock/>
          </v:shape>
          <o:OLEObject Type="Embed" ProgID="Excel.Sheet.8" ShapeID="_x0000_i1033" DrawAspect="Content" ObjectID="_1468075731" r:id="rId18">
            <o:LockedField>false</o:LockedField>
          </o:OLEObject>
        </w:object>
      </w:r>
    </w:p>
    <w:p>
      <w:pPr>
        <w:rPr>
          <w:rFonts w:hint="eastAsia" w:ascii="仿宋_GB2312" w:hAnsi="仿宋_GB2312" w:eastAsia="仿宋_GB2312" w:cs="仿宋_GB2312"/>
          <w:sz w:val="32"/>
          <w:szCs w:val="32"/>
          <w:lang w:eastAsia="zh-CN"/>
        </w:rPr>
      </w:pPr>
    </w:p>
    <w:p>
      <w:pPr>
        <w:rPr>
          <w:rFonts w:hint="eastAsia" w:ascii="仿宋_GB2312" w:hAnsi="仿宋_GB2312" w:eastAsia="仿宋_GB2312" w:cs="仿宋_GB2312"/>
          <w:sz w:val="32"/>
          <w:szCs w:val="32"/>
          <w:lang w:eastAsia="zh-CN"/>
        </w:rPr>
      </w:pPr>
    </w:p>
    <w:p>
      <w:pPr>
        <w:rPr>
          <w:rFonts w:hint="eastAsia" w:ascii="仿宋_GB2312" w:hAnsi="仿宋_GB2312" w:eastAsia="仿宋_GB2312" w:cs="仿宋_GB2312"/>
          <w:sz w:val="32"/>
          <w:szCs w:val="32"/>
          <w:lang w:eastAsia="zh-CN"/>
        </w:rPr>
      </w:pPr>
    </w:p>
    <w:p>
      <w:pPr>
        <w:rPr>
          <w:rFonts w:hint="eastAsia" w:ascii="仿宋_GB2312" w:hAnsi="仿宋_GB2312" w:eastAsia="仿宋_GB2312" w:cs="仿宋_GB2312"/>
          <w:sz w:val="32"/>
          <w:szCs w:val="32"/>
        </w:rPr>
        <w:sectPr>
          <w:pgSz w:w="16838" w:h="11906" w:orient="landscape"/>
          <w:pgMar w:top="2098" w:right="1474" w:bottom="1984" w:left="1587" w:header="720" w:footer="720" w:gutter="0"/>
          <w:pgNumType w:fmt="numberInDash"/>
          <w:cols w:space="720" w:num="1"/>
          <w:docGrid w:type="lines" w:linePitch="312" w:charSpace="0"/>
        </w:sectPr>
      </w:pPr>
    </w:p>
    <w:p>
      <w:pPr>
        <w:jc w:val="both"/>
        <w:outlineLvl w:val="0"/>
        <w:rPr>
          <w:rFonts w:hint="eastAsia" w:ascii="黑体" w:hAnsi="黑体" w:eastAsia="黑体" w:cs="黑体"/>
          <w:sz w:val="48"/>
          <w:szCs w:val="48"/>
        </w:rPr>
      </w:pPr>
    </w:p>
    <w:p>
      <w:pPr>
        <w:jc w:val="both"/>
        <w:outlineLvl w:val="0"/>
        <w:rPr>
          <w:rFonts w:hint="eastAsia" w:ascii="黑体" w:hAnsi="黑体" w:eastAsia="黑体" w:cs="黑体"/>
          <w:sz w:val="48"/>
          <w:szCs w:val="48"/>
        </w:rPr>
      </w:pPr>
    </w:p>
    <w:p>
      <w:pPr>
        <w:jc w:val="both"/>
        <w:outlineLvl w:val="0"/>
        <w:rPr>
          <w:rFonts w:hint="eastAsia" w:ascii="黑体" w:hAnsi="黑体" w:eastAsia="黑体" w:cs="黑体"/>
          <w:sz w:val="48"/>
          <w:szCs w:val="48"/>
        </w:rPr>
      </w:pPr>
    </w:p>
    <w:p>
      <w:pPr>
        <w:jc w:val="both"/>
        <w:outlineLvl w:val="0"/>
        <w:rPr>
          <w:rFonts w:hint="eastAsia" w:ascii="黑体" w:hAnsi="黑体" w:eastAsia="黑体" w:cs="黑体"/>
          <w:sz w:val="48"/>
          <w:szCs w:val="48"/>
        </w:rPr>
      </w:pPr>
    </w:p>
    <w:p>
      <w:pPr>
        <w:jc w:val="both"/>
        <w:outlineLvl w:val="0"/>
        <w:rPr>
          <w:rFonts w:hint="eastAsia" w:ascii="黑体" w:hAnsi="黑体" w:eastAsia="黑体" w:cs="黑体"/>
          <w:sz w:val="48"/>
          <w:szCs w:val="48"/>
        </w:rPr>
      </w:pPr>
    </w:p>
    <w:p>
      <w:pPr>
        <w:jc w:val="both"/>
        <w:outlineLvl w:val="0"/>
        <w:rPr>
          <w:rFonts w:hint="eastAsia" w:ascii="黑体" w:hAnsi="黑体" w:eastAsia="黑体" w:cs="黑体"/>
          <w:sz w:val="48"/>
          <w:szCs w:val="48"/>
        </w:rPr>
      </w:pPr>
    </w:p>
    <w:p>
      <w:pPr>
        <w:jc w:val="both"/>
        <w:outlineLvl w:val="0"/>
        <w:rPr>
          <w:rFonts w:hint="eastAsia" w:ascii="黑体" w:hAnsi="黑体" w:eastAsia="黑体" w:cs="黑体"/>
          <w:sz w:val="48"/>
          <w:szCs w:val="48"/>
        </w:rPr>
      </w:pPr>
    </w:p>
    <w:p>
      <w:pPr>
        <w:jc w:val="both"/>
        <w:outlineLvl w:val="0"/>
        <w:rPr>
          <w:rFonts w:hint="eastAsia" w:ascii="黑体" w:hAnsi="黑体" w:eastAsia="黑体" w:cs="黑体"/>
          <w:sz w:val="48"/>
          <w:szCs w:val="48"/>
        </w:rPr>
      </w:pPr>
      <w:r>
        <w:rPr>
          <w:rFonts w:hint="eastAsia" w:ascii="黑体" w:hAnsi="黑体" w:eastAsia="黑体" w:cs="黑体"/>
          <w:sz w:val="48"/>
          <w:szCs w:val="48"/>
        </w:rPr>
        <w:t>第三部分  20</w:t>
      </w:r>
      <w:r>
        <w:rPr>
          <w:rFonts w:hint="eastAsia" w:ascii="黑体" w:hAnsi="黑体" w:eastAsia="黑体" w:cs="黑体"/>
          <w:sz w:val="48"/>
          <w:szCs w:val="48"/>
          <w:lang w:val="en-US" w:eastAsia="zh-CN"/>
        </w:rPr>
        <w:t>20</w:t>
      </w:r>
      <w:r>
        <w:rPr>
          <w:rFonts w:hint="eastAsia" w:ascii="黑体" w:hAnsi="黑体" w:eastAsia="黑体" w:cs="黑体"/>
          <w:sz w:val="48"/>
          <w:szCs w:val="48"/>
        </w:rPr>
        <w:t>年度部门决算情况说明</w:t>
      </w:r>
    </w:p>
    <w:p>
      <w:pPr>
        <w:widowControl/>
        <w:jc w:val="left"/>
        <w:rPr>
          <w:rFonts w:hint="eastAsia" w:ascii="黑体" w:hAnsi="黑体" w:eastAsia="黑体" w:cs="黑体"/>
          <w:sz w:val="48"/>
          <w:szCs w:val="48"/>
        </w:rPr>
        <w:sectPr>
          <w:pgSz w:w="11906" w:h="16838"/>
          <w:pgMar w:top="1440" w:right="1800" w:bottom="1440" w:left="1800" w:header="720" w:footer="720" w:gutter="0"/>
          <w:pgNumType w:fmt="numberInDash"/>
          <w:cols w:space="720" w:num="1"/>
          <w:docGrid w:type="lines" w:linePitch="312" w:charSpace="0"/>
        </w:sectPr>
      </w:pPr>
    </w:p>
    <w:p>
      <w:pPr>
        <w:spacing w:beforeLines="0" w:afterLines="0"/>
        <w:jc w:val="left"/>
        <w:rPr>
          <w:rFonts w:hint="eastAsia" w:ascii="仿宋" w:hAnsi="仿宋" w:eastAsia="仿宋" w:cs="仿宋"/>
          <w:sz w:val="32"/>
          <w:szCs w:val="32"/>
          <w:lang w:val="zh-CN"/>
        </w:rPr>
      </w:pPr>
      <w:r>
        <w:rPr>
          <w:rFonts w:hint="eastAsia" w:ascii="仿宋" w:hAnsi="仿宋" w:eastAsia="仿宋" w:cs="仿宋"/>
          <w:sz w:val="32"/>
          <w:szCs w:val="32"/>
          <w:lang w:val="zh-CN"/>
        </w:rPr>
        <w:t>一、收入支出决算总体情况说明</w:t>
      </w:r>
    </w:p>
    <w:p>
      <w:pPr>
        <w:spacing w:beforeLines="0" w:afterLines="0"/>
        <w:ind w:firstLine="640" w:firstLineChars="200"/>
        <w:jc w:val="left"/>
        <w:rPr>
          <w:rFonts w:hint="eastAsia" w:ascii="仿宋" w:hAnsi="仿宋" w:eastAsia="仿宋" w:cs="仿宋"/>
          <w:sz w:val="32"/>
          <w:szCs w:val="32"/>
          <w:lang w:val="zh-CN"/>
        </w:rPr>
      </w:pPr>
      <w:r>
        <w:rPr>
          <w:rFonts w:hint="eastAsia" w:ascii="仿宋" w:hAnsi="仿宋" w:eastAsia="仿宋" w:cs="仿宋"/>
          <w:sz w:val="32"/>
          <w:szCs w:val="32"/>
          <w:lang w:val="zh-CN"/>
        </w:rPr>
        <w:t>2020年度收、支总计均为15,211万元。与上年度相比，收、支总计各增加（减少）1,205万元，增长（下降）</w:t>
      </w:r>
      <w:bookmarkStart w:id="0" w:name="_GoBack"/>
      <w:bookmarkEnd w:id="0"/>
      <w:r>
        <w:rPr>
          <w:rFonts w:hint="eastAsia" w:ascii="仿宋" w:hAnsi="仿宋" w:eastAsia="仿宋" w:cs="仿宋"/>
          <w:sz w:val="32"/>
          <w:szCs w:val="32"/>
          <w:lang w:val="zh-CN"/>
        </w:rPr>
        <w:t>8.6%。主要原因是节约开支。</w:t>
      </w:r>
    </w:p>
    <w:p>
      <w:pPr>
        <w:spacing w:beforeLines="0" w:afterLines="0"/>
        <w:jc w:val="left"/>
        <w:rPr>
          <w:rFonts w:hint="eastAsia" w:ascii="仿宋" w:hAnsi="仿宋" w:eastAsia="仿宋" w:cs="仿宋"/>
          <w:sz w:val="32"/>
          <w:szCs w:val="32"/>
          <w:lang w:val="zh-CN"/>
        </w:rPr>
      </w:pPr>
      <w:r>
        <w:rPr>
          <w:rFonts w:hint="eastAsia" w:ascii="仿宋" w:hAnsi="仿宋" w:eastAsia="仿宋" w:cs="仿宋"/>
          <w:sz w:val="32"/>
          <w:szCs w:val="32"/>
          <w:lang w:val="zh-CN"/>
        </w:rPr>
        <w:t>二、收入决算情况说明</w:t>
      </w:r>
    </w:p>
    <w:p>
      <w:pPr>
        <w:spacing w:beforeLines="0" w:afterLines="0"/>
        <w:ind w:firstLine="640" w:firstLineChars="200"/>
        <w:jc w:val="left"/>
        <w:rPr>
          <w:rFonts w:hint="eastAsia" w:ascii="仿宋" w:hAnsi="仿宋" w:eastAsia="仿宋" w:cs="仿宋"/>
          <w:sz w:val="32"/>
          <w:szCs w:val="32"/>
          <w:lang w:val="zh-CN"/>
        </w:rPr>
      </w:pPr>
      <w:r>
        <w:rPr>
          <w:rFonts w:hint="eastAsia" w:ascii="仿宋" w:hAnsi="仿宋" w:eastAsia="仿宋" w:cs="仿宋"/>
          <w:sz w:val="32"/>
          <w:szCs w:val="32"/>
          <w:lang w:val="zh-CN"/>
        </w:rPr>
        <w:t>2020年度收入合计15,211万元，其中：财政拨款收入</w:t>
      </w:r>
      <w:r>
        <w:rPr>
          <w:rFonts w:hint="eastAsia" w:ascii="仿宋" w:hAnsi="仿宋" w:eastAsia="仿宋" w:cs="仿宋"/>
          <w:sz w:val="32"/>
          <w:szCs w:val="32"/>
          <w:lang w:val="en-US" w:eastAsia="zh-CN"/>
        </w:rPr>
        <w:t>15211</w:t>
      </w:r>
      <w:r>
        <w:rPr>
          <w:rFonts w:hint="eastAsia" w:ascii="仿宋" w:hAnsi="仿宋" w:eastAsia="仿宋" w:cs="仿宋"/>
          <w:sz w:val="32"/>
          <w:szCs w:val="32"/>
          <w:lang w:val="zh-CN"/>
        </w:rPr>
        <w:t>万元，占30.71%；上级补助收入0万元，占0%；事业收入0万元，占0%；经营收入0万元，占0%；附属单位上缴收入0万元，占0%；其他收入0万元，占0%。</w:t>
      </w:r>
    </w:p>
    <w:p>
      <w:pPr>
        <w:spacing w:beforeLines="0" w:afterLines="0"/>
        <w:jc w:val="left"/>
        <w:rPr>
          <w:rFonts w:hint="eastAsia" w:ascii="仿宋" w:hAnsi="仿宋" w:eastAsia="仿宋" w:cs="仿宋"/>
          <w:sz w:val="32"/>
          <w:szCs w:val="32"/>
          <w:lang w:val="zh-CN"/>
        </w:rPr>
      </w:pPr>
      <w:r>
        <w:rPr>
          <w:rFonts w:hint="eastAsia" w:ascii="仿宋" w:hAnsi="仿宋" w:eastAsia="仿宋" w:cs="仿宋"/>
          <w:sz w:val="32"/>
          <w:szCs w:val="32"/>
          <w:lang w:val="zh-CN"/>
        </w:rPr>
        <w:t>三、支出决算情况说明</w:t>
      </w:r>
    </w:p>
    <w:p>
      <w:pPr>
        <w:spacing w:beforeLines="0" w:afterLines="0"/>
        <w:ind w:firstLine="640" w:firstLineChars="200"/>
        <w:jc w:val="left"/>
        <w:rPr>
          <w:rFonts w:hint="eastAsia" w:ascii="仿宋" w:hAnsi="仿宋" w:eastAsia="仿宋" w:cs="仿宋"/>
          <w:sz w:val="32"/>
          <w:szCs w:val="32"/>
          <w:lang w:val="zh-CN"/>
        </w:rPr>
      </w:pPr>
      <w:r>
        <w:rPr>
          <w:rFonts w:hint="eastAsia" w:ascii="仿宋" w:hAnsi="仿宋" w:eastAsia="仿宋" w:cs="仿宋"/>
          <w:sz w:val="32"/>
          <w:szCs w:val="32"/>
          <w:lang w:val="zh-CN"/>
        </w:rPr>
        <w:t>2020年度支出合计15,211万元，其中：基本支出3,506万元，占23.05%；项目支出11,705万元，占76.95%；上缴上级支出0万元，占0%；经营支出0万元，占0%；对附属单位补助支出0万元，占0%。</w:t>
      </w:r>
    </w:p>
    <w:p>
      <w:pPr>
        <w:spacing w:beforeLines="0" w:afterLines="0"/>
        <w:jc w:val="left"/>
        <w:rPr>
          <w:rFonts w:hint="eastAsia" w:ascii="仿宋" w:hAnsi="仿宋" w:eastAsia="仿宋" w:cs="仿宋"/>
          <w:sz w:val="32"/>
          <w:szCs w:val="32"/>
          <w:lang w:val="zh-CN"/>
        </w:rPr>
      </w:pPr>
      <w:r>
        <w:rPr>
          <w:rFonts w:hint="eastAsia" w:ascii="仿宋" w:hAnsi="仿宋" w:eastAsia="仿宋" w:cs="仿宋"/>
          <w:sz w:val="32"/>
          <w:szCs w:val="32"/>
          <w:lang w:val="zh-CN"/>
        </w:rPr>
        <w:t>四、财政拨款收入支出决算总体情况说明</w:t>
      </w:r>
    </w:p>
    <w:p>
      <w:pPr>
        <w:spacing w:beforeLines="0" w:afterLines="0"/>
        <w:ind w:firstLine="640" w:firstLineChars="200"/>
        <w:jc w:val="left"/>
        <w:rPr>
          <w:rFonts w:hint="eastAsia" w:ascii="仿宋" w:hAnsi="仿宋" w:eastAsia="仿宋" w:cs="仿宋"/>
          <w:sz w:val="32"/>
          <w:szCs w:val="32"/>
          <w:lang w:val="zh-CN"/>
        </w:rPr>
      </w:pPr>
      <w:r>
        <w:rPr>
          <w:rFonts w:hint="eastAsia" w:ascii="仿宋" w:hAnsi="仿宋" w:eastAsia="仿宋" w:cs="仿宋"/>
          <w:sz w:val="32"/>
          <w:szCs w:val="32"/>
          <w:lang w:val="zh-CN"/>
        </w:rPr>
        <w:t>2020年度财政拨款收、支总计均为15,211万元。与上年度相比，财政拨款收、支总计各增加（减少）1,205万元，增长（下降）7.92%。主要原因是消减财政拨款支出。</w:t>
      </w:r>
    </w:p>
    <w:p>
      <w:pPr>
        <w:spacing w:beforeLines="0" w:afterLines="0"/>
        <w:jc w:val="left"/>
        <w:rPr>
          <w:rFonts w:hint="eastAsia" w:ascii="仿宋" w:hAnsi="仿宋" w:eastAsia="仿宋" w:cs="仿宋"/>
          <w:sz w:val="32"/>
          <w:szCs w:val="32"/>
          <w:lang w:val="zh-CN"/>
        </w:rPr>
      </w:pPr>
      <w:r>
        <w:rPr>
          <w:rFonts w:hint="eastAsia" w:ascii="仿宋" w:hAnsi="仿宋" w:eastAsia="仿宋" w:cs="仿宋"/>
          <w:sz w:val="32"/>
          <w:szCs w:val="32"/>
          <w:lang w:val="zh-CN"/>
        </w:rPr>
        <w:t>五、一般公共预算财政拨款支出决算情况说明</w:t>
      </w:r>
    </w:p>
    <w:p>
      <w:pPr>
        <w:spacing w:beforeLines="0" w:afterLines="0"/>
        <w:jc w:val="left"/>
        <w:rPr>
          <w:rFonts w:hint="eastAsia" w:ascii="仿宋" w:hAnsi="仿宋" w:eastAsia="仿宋" w:cs="仿宋"/>
          <w:sz w:val="32"/>
          <w:szCs w:val="32"/>
          <w:lang w:val="zh-CN"/>
        </w:rPr>
      </w:pPr>
      <w:r>
        <w:rPr>
          <w:rFonts w:hint="eastAsia" w:ascii="仿宋" w:hAnsi="仿宋" w:eastAsia="仿宋" w:cs="仿宋"/>
          <w:sz w:val="32"/>
          <w:szCs w:val="32"/>
          <w:lang w:val="zh-CN"/>
        </w:rPr>
        <w:t>（一）总体情况。</w:t>
      </w:r>
    </w:p>
    <w:p>
      <w:pPr>
        <w:spacing w:beforeLines="0" w:afterLines="0"/>
        <w:ind w:firstLine="640" w:firstLineChars="200"/>
        <w:jc w:val="left"/>
        <w:rPr>
          <w:rFonts w:hint="eastAsia" w:ascii="仿宋" w:hAnsi="仿宋" w:eastAsia="仿宋" w:cs="仿宋"/>
          <w:sz w:val="32"/>
          <w:szCs w:val="32"/>
          <w:lang w:val="zh-CN"/>
        </w:rPr>
      </w:pPr>
      <w:r>
        <w:rPr>
          <w:rFonts w:hint="eastAsia" w:ascii="仿宋" w:hAnsi="仿宋" w:eastAsia="仿宋" w:cs="仿宋"/>
          <w:sz w:val="32"/>
          <w:szCs w:val="32"/>
          <w:lang w:val="zh-CN"/>
        </w:rPr>
        <w:t>2020年度一般公共预算财政拨款支出4,671万元，占支出合计的30.7%。与上年度相比，一般公共预算财政拨款支出增加（减少）275万元，增长（下降）6.255687%。主要原因项目支出减少。</w:t>
      </w:r>
    </w:p>
    <w:p>
      <w:pPr>
        <w:spacing w:beforeLines="0" w:afterLines="0"/>
        <w:jc w:val="left"/>
        <w:rPr>
          <w:rFonts w:hint="eastAsia" w:ascii="仿宋" w:hAnsi="仿宋" w:eastAsia="仿宋" w:cs="仿宋"/>
          <w:sz w:val="32"/>
          <w:szCs w:val="32"/>
          <w:lang w:val="zh-CN"/>
        </w:rPr>
      </w:pPr>
      <w:r>
        <w:rPr>
          <w:rFonts w:hint="eastAsia" w:ascii="仿宋" w:hAnsi="仿宋" w:eastAsia="仿宋" w:cs="仿宋"/>
          <w:sz w:val="32"/>
          <w:szCs w:val="32"/>
          <w:lang w:val="zh-CN"/>
        </w:rPr>
        <w:t>（二）结构情况。</w:t>
      </w:r>
    </w:p>
    <w:p>
      <w:pPr>
        <w:spacing w:beforeLines="0" w:afterLines="0"/>
        <w:ind w:firstLine="640" w:firstLineChars="200"/>
        <w:jc w:val="left"/>
        <w:rPr>
          <w:rFonts w:hint="eastAsia" w:ascii="仿宋" w:hAnsi="仿宋" w:eastAsia="仿宋" w:cs="仿宋"/>
          <w:sz w:val="32"/>
          <w:szCs w:val="32"/>
          <w:lang w:val="zh-CN"/>
        </w:rPr>
      </w:pPr>
      <w:r>
        <w:rPr>
          <w:rFonts w:hint="eastAsia" w:ascii="仿宋" w:hAnsi="仿宋" w:eastAsia="仿宋" w:cs="仿宋"/>
          <w:sz w:val="32"/>
          <w:szCs w:val="32"/>
          <w:lang w:val="zh-CN"/>
        </w:rPr>
        <w:t>2020年度一般公共预算财政拨款支出4,671万元，主要用于以下方面：一般公共服务（类）支出</w:t>
      </w:r>
      <w:r>
        <w:rPr>
          <w:rFonts w:hint="eastAsia" w:ascii="仿宋" w:hAnsi="仿宋" w:eastAsia="仿宋" w:cs="仿宋"/>
          <w:sz w:val="32"/>
          <w:szCs w:val="32"/>
          <w:lang w:val="en-US" w:eastAsia="zh-CN"/>
        </w:rPr>
        <w:t>1881</w:t>
      </w:r>
      <w:r>
        <w:rPr>
          <w:rFonts w:hint="eastAsia" w:ascii="仿宋" w:hAnsi="仿宋" w:eastAsia="仿宋" w:cs="仿宋"/>
          <w:sz w:val="32"/>
          <w:szCs w:val="32"/>
          <w:lang w:val="zh-CN"/>
        </w:rPr>
        <w:t>万元，占</w:t>
      </w:r>
      <w:r>
        <w:rPr>
          <w:rFonts w:hint="eastAsia" w:ascii="仿宋" w:hAnsi="仿宋" w:eastAsia="仿宋" w:cs="仿宋"/>
          <w:sz w:val="32"/>
          <w:szCs w:val="32"/>
          <w:lang w:val="en-US" w:eastAsia="zh-CN"/>
        </w:rPr>
        <w:t>40</w:t>
      </w:r>
      <w:r>
        <w:rPr>
          <w:rFonts w:hint="eastAsia" w:ascii="仿宋" w:hAnsi="仿宋" w:eastAsia="仿宋" w:cs="仿宋"/>
          <w:sz w:val="32"/>
          <w:szCs w:val="32"/>
          <w:lang w:val="zh-CN"/>
        </w:rPr>
        <w:t>%；公共安全（类）支出</w:t>
      </w:r>
      <w:r>
        <w:rPr>
          <w:rFonts w:hint="eastAsia" w:ascii="仿宋" w:hAnsi="仿宋" w:eastAsia="仿宋" w:cs="仿宋"/>
          <w:sz w:val="32"/>
          <w:szCs w:val="32"/>
          <w:lang w:val="en-US" w:eastAsia="zh-CN"/>
        </w:rPr>
        <w:t>443万元占9.4%；文化旅游体育与传媒支出50万元；占1.0%；社会保障和就业（类)支出109万元；占2.3%；卫生健康（类）支出101万元占2.16%；节能环保类支出155万元；占3.3%城乡社区类支出1842万元；占39%；农林水（类）支出51万元；占1.09%；住房保障（类）支出39万元；</w:t>
      </w:r>
      <w:r>
        <w:rPr>
          <w:rFonts w:hint="eastAsia" w:ascii="仿宋" w:hAnsi="仿宋" w:eastAsia="仿宋" w:cs="仿宋"/>
          <w:sz w:val="32"/>
          <w:szCs w:val="32"/>
          <w:lang w:val="zh-CN"/>
        </w:rPr>
        <w:t>占</w:t>
      </w:r>
      <w:r>
        <w:rPr>
          <w:rFonts w:hint="eastAsia" w:ascii="仿宋" w:hAnsi="仿宋" w:eastAsia="仿宋" w:cs="仿宋"/>
          <w:sz w:val="32"/>
          <w:szCs w:val="32"/>
          <w:lang w:val="en-US" w:eastAsia="zh-CN"/>
        </w:rPr>
        <w:t>0.8</w:t>
      </w:r>
      <w:r>
        <w:rPr>
          <w:rFonts w:hint="eastAsia" w:ascii="仿宋" w:hAnsi="仿宋" w:eastAsia="仿宋" w:cs="仿宋"/>
          <w:sz w:val="32"/>
          <w:szCs w:val="32"/>
          <w:lang w:val="zh-CN"/>
        </w:rPr>
        <w:t>%。</w:t>
      </w:r>
    </w:p>
    <w:p>
      <w:pPr>
        <w:spacing w:beforeLines="0" w:afterLines="0"/>
        <w:jc w:val="left"/>
        <w:rPr>
          <w:rFonts w:hint="eastAsia" w:ascii="仿宋" w:hAnsi="仿宋" w:eastAsia="仿宋" w:cs="仿宋"/>
          <w:sz w:val="32"/>
          <w:szCs w:val="32"/>
          <w:lang w:val="zh-CN"/>
        </w:rPr>
      </w:pPr>
      <w:r>
        <w:rPr>
          <w:rFonts w:hint="eastAsia" w:ascii="仿宋" w:hAnsi="仿宋" w:eastAsia="仿宋" w:cs="仿宋"/>
          <w:sz w:val="32"/>
          <w:szCs w:val="32"/>
          <w:lang w:val="zh-CN"/>
        </w:rPr>
        <w:t>（三）具体情况。</w:t>
      </w:r>
    </w:p>
    <w:p>
      <w:pPr>
        <w:spacing w:beforeLines="0" w:afterLines="0"/>
        <w:ind w:firstLine="640" w:firstLineChars="200"/>
        <w:jc w:val="left"/>
        <w:rPr>
          <w:rFonts w:hint="eastAsia" w:ascii="仿宋" w:hAnsi="仿宋" w:eastAsia="仿宋" w:cs="仿宋"/>
          <w:sz w:val="32"/>
          <w:szCs w:val="32"/>
          <w:lang w:val="zh-CN"/>
        </w:rPr>
      </w:pPr>
      <w:r>
        <w:rPr>
          <w:rFonts w:hint="eastAsia" w:ascii="仿宋" w:hAnsi="仿宋" w:eastAsia="仿宋" w:cs="仿宋"/>
          <w:sz w:val="32"/>
          <w:szCs w:val="32"/>
          <w:lang w:val="zh-CN"/>
        </w:rPr>
        <w:t>2020年度一般公共预算财政拨款支出年初预算为4,000万元，支出决算为4,671万元，完成年初预算的116.775%。其中：</w:t>
      </w:r>
    </w:p>
    <w:p>
      <w:pPr>
        <w:spacing w:beforeLines="0" w:afterLines="0"/>
        <w:jc w:val="left"/>
        <w:rPr>
          <w:rFonts w:hint="eastAsia" w:ascii="仿宋" w:hAnsi="仿宋" w:eastAsia="仿宋" w:cs="仿宋"/>
          <w:sz w:val="32"/>
          <w:szCs w:val="32"/>
          <w:lang w:val="zh-CN"/>
        </w:rPr>
      </w:pPr>
      <w:r>
        <w:rPr>
          <w:rFonts w:hint="eastAsia" w:ascii="仿宋" w:hAnsi="仿宋" w:eastAsia="仿宋" w:cs="仿宋"/>
          <w:sz w:val="32"/>
          <w:szCs w:val="32"/>
          <w:lang w:val="zh-CN"/>
        </w:rPr>
        <w:t>1．一般公共服务（类）财政事务（款）行政运行（项）。年初预算为</w:t>
      </w:r>
      <w:r>
        <w:rPr>
          <w:rFonts w:hint="eastAsia" w:ascii="仿宋" w:hAnsi="仿宋" w:eastAsia="仿宋" w:cs="仿宋"/>
          <w:sz w:val="32"/>
          <w:szCs w:val="32"/>
          <w:lang w:val="en-US" w:eastAsia="zh-CN"/>
        </w:rPr>
        <w:t>1784</w:t>
      </w:r>
      <w:r>
        <w:rPr>
          <w:rFonts w:hint="eastAsia" w:ascii="仿宋" w:hAnsi="仿宋" w:eastAsia="仿宋" w:cs="仿宋"/>
          <w:sz w:val="32"/>
          <w:szCs w:val="32"/>
          <w:lang w:val="zh-CN"/>
        </w:rPr>
        <w:t>万元，支出决算为</w:t>
      </w:r>
      <w:r>
        <w:rPr>
          <w:rFonts w:hint="eastAsia" w:ascii="仿宋" w:hAnsi="仿宋" w:eastAsia="仿宋" w:cs="仿宋"/>
          <w:sz w:val="32"/>
          <w:szCs w:val="32"/>
          <w:lang w:val="en-US" w:eastAsia="zh-CN"/>
        </w:rPr>
        <w:t>1881</w:t>
      </w:r>
      <w:r>
        <w:rPr>
          <w:rFonts w:hint="eastAsia" w:ascii="仿宋" w:hAnsi="仿宋" w:eastAsia="仿宋" w:cs="仿宋"/>
          <w:sz w:val="32"/>
          <w:szCs w:val="32"/>
          <w:lang w:val="zh-CN"/>
        </w:rPr>
        <w:t>万元，决算数与年初预算数存在差异的主要原因是工资增加。</w:t>
      </w:r>
    </w:p>
    <w:p>
      <w:pPr>
        <w:spacing w:beforeLines="0" w:afterLines="0"/>
        <w:jc w:val="left"/>
        <w:rPr>
          <w:rFonts w:hint="eastAsia" w:ascii="仿宋" w:hAnsi="仿宋" w:eastAsia="仿宋" w:cs="仿宋"/>
          <w:sz w:val="32"/>
          <w:szCs w:val="32"/>
          <w:lang w:val="zh-CN"/>
        </w:rPr>
      </w:pPr>
      <w:r>
        <w:rPr>
          <w:rFonts w:hint="eastAsia" w:ascii="仿宋" w:hAnsi="仿宋" w:eastAsia="仿宋" w:cs="仿宋"/>
          <w:sz w:val="32"/>
          <w:szCs w:val="32"/>
          <w:lang w:val="zh-CN"/>
        </w:rPr>
        <w:t>2．一般公共服务（类）财政事务（款）行政运行（项）。年初预算为</w:t>
      </w:r>
      <w:r>
        <w:rPr>
          <w:rFonts w:hint="eastAsia" w:ascii="仿宋" w:hAnsi="仿宋" w:eastAsia="仿宋" w:cs="仿宋"/>
          <w:sz w:val="32"/>
          <w:szCs w:val="32"/>
          <w:lang w:val="en-US" w:eastAsia="zh-CN"/>
        </w:rPr>
        <w:t>2216</w:t>
      </w:r>
      <w:r>
        <w:rPr>
          <w:rFonts w:hint="eastAsia" w:ascii="仿宋" w:hAnsi="仿宋" w:eastAsia="仿宋" w:cs="仿宋"/>
          <w:sz w:val="32"/>
          <w:szCs w:val="32"/>
          <w:lang w:val="zh-CN"/>
        </w:rPr>
        <w:t>万元，支出决算为</w:t>
      </w:r>
      <w:r>
        <w:rPr>
          <w:rFonts w:hint="eastAsia" w:ascii="仿宋" w:hAnsi="仿宋" w:eastAsia="仿宋" w:cs="仿宋"/>
          <w:sz w:val="32"/>
          <w:szCs w:val="32"/>
          <w:lang w:val="en-US" w:eastAsia="zh-CN"/>
        </w:rPr>
        <w:t>2790</w:t>
      </w:r>
      <w:r>
        <w:rPr>
          <w:rFonts w:hint="eastAsia" w:ascii="仿宋" w:hAnsi="仿宋" w:eastAsia="仿宋" w:cs="仿宋"/>
          <w:sz w:val="32"/>
          <w:szCs w:val="32"/>
          <w:lang w:val="zh-CN"/>
        </w:rPr>
        <w:t>万元，决算数与年初预算数存在差异的主要原因是环境卫生项目经费增加。</w:t>
      </w:r>
    </w:p>
    <w:p>
      <w:pPr>
        <w:spacing w:beforeLines="0" w:afterLines="0"/>
        <w:jc w:val="left"/>
        <w:rPr>
          <w:rFonts w:hint="eastAsia" w:ascii="仿宋" w:hAnsi="仿宋" w:eastAsia="仿宋" w:cs="仿宋"/>
          <w:sz w:val="32"/>
          <w:szCs w:val="32"/>
          <w:lang w:val="zh-CN"/>
        </w:rPr>
      </w:pPr>
    </w:p>
    <w:p>
      <w:pPr>
        <w:spacing w:beforeLines="0" w:afterLines="0"/>
        <w:jc w:val="left"/>
        <w:rPr>
          <w:rFonts w:hint="eastAsia" w:ascii="仿宋" w:hAnsi="仿宋" w:eastAsia="仿宋" w:cs="仿宋"/>
          <w:sz w:val="32"/>
          <w:szCs w:val="32"/>
          <w:lang w:val="zh-CN"/>
        </w:rPr>
      </w:pPr>
      <w:r>
        <w:rPr>
          <w:rFonts w:hint="eastAsia" w:ascii="仿宋" w:hAnsi="仿宋" w:eastAsia="仿宋" w:cs="仿宋"/>
          <w:sz w:val="32"/>
          <w:szCs w:val="32"/>
          <w:lang w:val="zh-CN"/>
        </w:rPr>
        <w:t>六、一般公共预算财政拨款基本支出决算情况说明</w:t>
      </w:r>
    </w:p>
    <w:p>
      <w:pPr>
        <w:spacing w:beforeLines="0" w:afterLines="0"/>
        <w:ind w:firstLine="640" w:firstLineChars="200"/>
        <w:jc w:val="left"/>
        <w:rPr>
          <w:rFonts w:hint="eastAsia" w:ascii="仿宋" w:hAnsi="仿宋" w:eastAsia="仿宋" w:cs="仿宋"/>
          <w:sz w:val="32"/>
          <w:szCs w:val="32"/>
          <w:lang w:val="zh-CN"/>
        </w:rPr>
      </w:pPr>
      <w:r>
        <w:rPr>
          <w:rFonts w:hint="eastAsia" w:ascii="仿宋" w:hAnsi="仿宋" w:eastAsia="仿宋" w:cs="仿宋"/>
          <w:sz w:val="32"/>
          <w:szCs w:val="32"/>
          <w:lang w:val="zh-CN"/>
        </w:rPr>
        <w:t>2020年度一般公共预算财政拨款基本支出3,506万元。其中：人员经费2,178万元，主要包括：基本工资、津贴补贴、伙食补助费、绩效工资、机关事业单位基本养老保险缴费、职业年金缴费、其他社会保障缴费、其他工资福利支出、离休费、退休费、抚恤金、生活补助、医疗费、奖励金、住房公积金、采暖补贴、物业服务补贴、其他对个人和家庭的补助支出……；公用经费1,328万元，主要包括：办公费、印刷费、咨询费、手续费、水费、电费、邮电费、取暖费、物业管理费、差旅费、因公出国（境）费用、维修（护）费、租赁费、会议费、培训费、公务接待费、专用材料费、劳务费、委托业务费、工会经费、福利费、公务用车运行维护费、其他交通费用、税金及附加费用、其他商品和服务支出、办公设备购置、专用设备购置、信息网络及软件购置更新、其他资本性支出。</w:t>
      </w:r>
    </w:p>
    <w:p>
      <w:pPr>
        <w:spacing w:beforeLines="0" w:afterLines="0"/>
        <w:jc w:val="left"/>
        <w:rPr>
          <w:rFonts w:hint="eastAsia" w:ascii="仿宋" w:hAnsi="仿宋" w:eastAsia="仿宋" w:cs="仿宋"/>
          <w:sz w:val="32"/>
          <w:szCs w:val="32"/>
          <w:lang w:val="zh-CN"/>
        </w:rPr>
      </w:pPr>
      <w:r>
        <w:rPr>
          <w:rFonts w:hint="eastAsia" w:ascii="仿宋" w:hAnsi="仿宋" w:eastAsia="仿宋" w:cs="仿宋"/>
          <w:sz w:val="32"/>
          <w:szCs w:val="32"/>
          <w:lang w:val="zh-CN"/>
        </w:rPr>
        <w:t>七、一般公共预算财政拨款“三公”经费支出决算情况说明</w:t>
      </w:r>
    </w:p>
    <w:p>
      <w:pPr>
        <w:spacing w:beforeLines="0" w:afterLines="0"/>
        <w:ind w:firstLine="320" w:firstLineChars="100"/>
        <w:jc w:val="left"/>
        <w:rPr>
          <w:rFonts w:hint="eastAsia" w:ascii="仿宋" w:hAnsi="仿宋" w:eastAsia="仿宋" w:cs="仿宋"/>
          <w:sz w:val="32"/>
          <w:szCs w:val="32"/>
          <w:lang w:val="zh-CN"/>
        </w:rPr>
      </w:pPr>
      <w:r>
        <w:rPr>
          <w:rFonts w:hint="eastAsia" w:ascii="仿宋" w:hAnsi="仿宋" w:eastAsia="仿宋" w:cs="仿宋"/>
          <w:sz w:val="32"/>
          <w:szCs w:val="32"/>
          <w:lang w:val="zh-CN"/>
        </w:rPr>
        <w:t>（一）“三公”经费财政拨款支出决算总体情况说明。</w:t>
      </w:r>
    </w:p>
    <w:p>
      <w:pPr>
        <w:spacing w:beforeLines="0" w:afterLines="0"/>
        <w:jc w:val="left"/>
        <w:rPr>
          <w:rFonts w:hint="eastAsia" w:ascii="仿宋" w:hAnsi="仿宋" w:eastAsia="仿宋" w:cs="仿宋"/>
          <w:sz w:val="32"/>
          <w:szCs w:val="32"/>
          <w:lang w:val="zh-CN"/>
        </w:rPr>
      </w:pPr>
      <w:r>
        <w:rPr>
          <w:rFonts w:hint="eastAsia" w:ascii="仿宋" w:hAnsi="仿宋" w:eastAsia="仿宋" w:cs="仿宋"/>
          <w:sz w:val="32"/>
          <w:szCs w:val="32"/>
          <w:lang w:val="zh-CN"/>
        </w:rPr>
        <w:t>2020年度“三公”经费财政拨款支出预算为28万元，支出决算为14.4万元，完成预算的51.428571%。2020年度“三公”经费支出决算数与预算数存在差异的主要原因是……。</w:t>
      </w:r>
    </w:p>
    <w:p>
      <w:pPr>
        <w:spacing w:beforeLines="0" w:afterLines="0"/>
        <w:ind w:firstLine="320" w:firstLineChars="100"/>
        <w:jc w:val="left"/>
        <w:rPr>
          <w:rFonts w:hint="eastAsia" w:ascii="仿宋" w:hAnsi="仿宋" w:eastAsia="仿宋" w:cs="仿宋"/>
          <w:sz w:val="32"/>
          <w:szCs w:val="32"/>
          <w:lang w:val="zh-CN"/>
        </w:rPr>
      </w:pPr>
      <w:r>
        <w:rPr>
          <w:rFonts w:hint="eastAsia" w:ascii="仿宋" w:hAnsi="仿宋" w:eastAsia="仿宋" w:cs="仿宋"/>
          <w:sz w:val="32"/>
          <w:szCs w:val="32"/>
          <w:lang w:val="zh-CN"/>
        </w:rPr>
        <w:t>（二）“三公”经费财政拨款支出决算具体情况说明。</w:t>
      </w:r>
    </w:p>
    <w:p>
      <w:pPr>
        <w:spacing w:beforeLines="0" w:afterLines="0"/>
        <w:jc w:val="left"/>
        <w:rPr>
          <w:rFonts w:hint="eastAsia" w:ascii="仿宋" w:hAnsi="仿宋" w:eastAsia="仿宋" w:cs="仿宋"/>
          <w:sz w:val="32"/>
          <w:szCs w:val="32"/>
          <w:lang w:val="zh-CN"/>
        </w:rPr>
      </w:pPr>
      <w:r>
        <w:rPr>
          <w:rFonts w:hint="eastAsia" w:ascii="仿宋" w:hAnsi="仿宋" w:eastAsia="仿宋" w:cs="仿宋"/>
          <w:sz w:val="32"/>
          <w:szCs w:val="32"/>
          <w:lang w:val="zh-CN"/>
        </w:rPr>
        <w:t>2020年度“三公”经费财政拨款支出决算中，因公出国（境）费支出决算0万元，完成预算的0%，占0%；公务用车购置及运行费支出决算7.8万元，完成预算的70.909091%，占54.166667%；公务接待费支出决算6.6万元，完成预算的38.823529%，占45.833333%；具体情况如下：</w:t>
      </w:r>
    </w:p>
    <w:p>
      <w:pPr>
        <w:spacing w:beforeLines="0" w:afterLines="0"/>
        <w:ind w:firstLine="320" w:firstLineChars="100"/>
        <w:jc w:val="left"/>
        <w:rPr>
          <w:rFonts w:hint="eastAsia" w:ascii="仿宋" w:hAnsi="仿宋" w:eastAsia="仿宋" w:cs="仿宋"/>
          <w:sz w:val="32"/>
          <w:szCs w:val="32"/>
          <w:lang w:val="zh-CN"/>
        </w:rPr>
      </w:pPr>
      <w:r>
        <w:rPr>
          <w:rFonts w:hint="eastAsia" w:ascii="仿宋" w:hAnsi="仿宋" w:eastAsia="仿宋" w:cs="仿宋"/>
          <w:sz w:val="32"/>
          <w:szCs w:val="32"/>
          <w:lang w:val="zh-CN"/>
        </w:rPr>
        <w:t>1．因公出国（境）费年初预算为0万元，支出决算为0万元，完成年初预算的0%，决算数与年初预算数存在差异的主要原因是……。</w:t>
      </w:r>
    </w:p>
    <w:p>
      <w:pPr>
        <w:spacing w:beforeLines="0" w:afterLines="0"/>
        <w:jc w:val="left"/>
        <w:rPr>
          <w:rFonts w:hint="eastAsia" w:ascii="仿宋" w:hAnsi="仿宋" w:eastAsia="仿宋" w:cs="仿宋"/>
          <w:sz w:val="32"/>
          <w:szCs w:val="32"/>
          <w:lang w:val="zh-CN"/>
        </w:rPr>
      </w:pPr>
      <w:r>
        <w:rPr>
          <w:rFonts w:hint="eastAsia" w:ascii="仿宋" w:hAnsi="仿宋" w:eastAsia="仿宋" w:cs="仿宋"/>
          <w:sz w:val="32"/>
          <w:szCs w:val="32"/>
          <w:lang w:val="zh-CN"/>
        </w:rPr>
        <w:t>因公出国（境）团组数0个，因公出国（境）人次数0人。开支内容包括：</w:t>
      </w:r>
    </w:p>
    <w:p>
      <w:pPr>
        <w:spacing w:beforeLines="0" w:afterLines="0"/>
        <w:jc w:val="left"/>
        <w:rPr>
          <w:rFonts w:hint="eastAsia" w:ascii="仿宋" w:hAnsi="仿宋" w:eastAsia="仿宋" w:cs="仿宋"/>
          <w:sz w:val="32"/>
          <w:szCs w:val="32"/>
          <w:lang w:val="zh-CN"/>
        </w:rPr>
      </w:pPr>
    </w:p>
    <w:p>
      <w:pPr>
        <w:spacing w:beforeLines="0" w:afterLines="0"/>
        <w:ind w:firstLine="640" w:firstLineChars="200"/>
        <w:jc w:val="left"/>
        <w:rPr>
          <w:rFonts w:hint="eastAsia" w:ascii="仿宋" w:hAnsi="仿宋" w:eastAsia="仿宋" w:cs="仿宋"/>
          <w:sz w:val="32"/>
          <w:szCs w:val="32"/>
          <w:lang w:val="zh-CN"/>
        </w:rPr>
      </w:pPr>
      <w:r>
        <w:rPr>
          <w:rFonts w:hint="eastAsia" w:ascii="仿宋" w:hAnsi="仿宋" w:eastAsia="仿宋" w:cs="仿宋"/>
          <w:sz w:val="32"/>
          <w:szCs w:val="32"/>
          <w:lang w:val="zh-CN"/>
        </w:rPr>
        <w:t>2．公务用车购置及运行费年初预算为11万元，支出决算为7.8万元，完成年初预算的70.909091%，决算数与年初预算数存在差异的主要原因是减少支出。其中：</w:t>
      </w:r>
    </w:p>
    <w:p>
      <w:pPr>
        <w:spacing w:beforeLines="0" w:afterLines="0"/>
        <w:jc w:val="left"/>
        <w:rPr>
          <w:rFonts w:hint="eastAsia" w:ascii="仿宋" w:hAnsi="仿宋" w:eastAsia="仿宋" w:cs="仿宋"/>
          <w:sz w:val="32"/>
          <w:szCs w:val="32"/>
          <w:lang w:val="zh-CN"/>
        </w:rPr>
      </w:pPr>
      <w:r>
        <w:rPr>
          <w:rFonts w:hint="eastAsia" w:ascii="仿宋" w:hAnsi="仿宋" w:eastAsia="仿宋" w:cs="仿宋"/>
          <w:sz w:val="32"/>
          <w:szCs w:val="32"/>
          <w:lang w:val="zh-CN"/>
        </w:rPr>
        <w:t>公务用车购置支出0万元，购置车辆××台，其中××车××辆、××车××辆。</w:t>
      </w:r>
    </w:p>
    <w:p>
      <w:pPr>
        <w:spacing w:beforeLines="0" w:afterLines="0"/>
        <w:jc w:val="left"/>
        <w:rPr>
          <w:rFonts w:hint="eastAsia" w:ascii="仿宋" w:hAnsi="仿宋" w:eastAsia="仿宋" w:cs="仿宋"/>
          <w:sz w:val="32"/>
          <w:szCs w:val="32"/>
          <w:lang w:val="zh-CN"/>
        </w:rPr>
      </w:pPr>
      <w:r>
        <w:rPr>
          <w:rFonts w:hint="eastAsia" w:ascii="仿宋" w:hAnsi="仿宋" w:eastAsia="仿宋" w:cs="仿宋"/>
          <w:sz w:val="32"/>
          <w:szCs w:val="32"/>
          <w:lang w:val="zh-CN"/>
        </w:rPr>
        <w:t>公务用车运行支出7.8万元。主要用于燃油费、过路过桥费。2020年期末，单位开支财政拨款的公务用车保有量为</w:t>
      </w:r>
      <w:r>
        <w:rPr>
          <w:rFonts w:hint="eastAsia" w:ascii="仿宋" w:hAnsi="仿宋" w:eastAsia="仿宋" w:cs="仿宋"/>
          <w:sz w:val="32"/>
          <w:szCs w:val="32"/>
          <w:lang w:val="en-US" w:eastAsia="zh-CN"/>
        </w:rPr>
        <w:t>6</w:t>
      </w:r>
      <w:r>
        <w:rPr>
          <w:rFonts w:hint="eastAsia" w:ascii="仿宋" w:hAnsi="仿宋" w:eastAsia="仿宋" w:cs="仿宋"/>
          <w:sz w:val="32"/>
          <w:szCs w:val="32"/>
          <w:lang w:val="zh-CN"/>
        </w:rPr>
        <w:t>量。</w:t>
      </w:r>
    </w:p>
    <w:p>
      <w:pPr>
        <w:spacing w:beforeLines="0" w:afterLines="0"/>
        <w:ind w:firstLine="640" w:firstLineChars="200"/>
        <w:jc w:val="left"/>
        <w:rPr>
          <w:rFonts w:hint="eastAsia" w:ascii="仿宋" w:hAnsi="仿宋" w:eastAsia="仿宋" w:cs="仿宋"/>
          <w:sz w:val="32"/>
          <w:szCs w:val="32"/>
          <w:lang w:val="zh-CN"/>
        </w:rPr>
      </w:pPr>
      <w:r>
        <w:rPr>
          <w:rFonts w:hint="eastAsia" w:ascii="仿宋" w:hAnsi="仿宋" w:eastAsia="仿宋" w:cs="仿宋"/>
          <w:sz w:val="32"/>
          <w:szCs w:val="32"/>
          <w:lang w:val="zh-CN"/>
        </w:rPr>
        <w:t>3.公务接待费年初预算为17万元，支出决算为6.6万元，完成年初预算的38.823529%。决算数与年初预算数存在差异的主要原因是减少支出。</w:t>
      </w:r>
    </w:p>
    <w:p>
      <w:pPr>
        <w:spacing w:beforeLines="0" w:afterLines="0"/>
        <w:jc w:val="left"/>
        <w:rPr>
          <w:rFonts w:hint="eastAsia" w:ascii="仿宋" w:hAnsi="仿宋" w:eastAsia="仿宋" w:cs="仿宋"/>
          <w:sz w:val="32"/>
          <w:szCs w:val="32"/>
          <w:lang w:val="zh-CN"/>
        </w:rPr>
      </w:pPr>
      <w:r>
        <w:rPr>
          <w:rFonts w:hint="eastAsia" w:ascii="仿宋" w:hAnsi="仿宋" w:eastAsia="仿宋" w:cs="仿宋"/>
          <w:sz w:val="32"/>
          <w:szCs w:val="32"/>
          <w:lang w:val="zh-CN"/>
        </w:rPr>
        <w:t>八、预算绩效情况说明</w:t>
      </w:r>
    </w:p>
    <w:p>
      <w:pPr>
        <w:spacing w:beforeLines="0" w:afterLines="0"/>
        <w:jc w:val="left"/>
        <w:rPr>
          <w:rFonts w:hint="eastAsia" w:ascii="仿宋" w:hAnsi="仿宋" w:eastAsia="仿宋" w:cs="仿宋"/>
          <w:sz w:val="32"/>
          <w:szCs w:val="32"/>
          <w:lang w:val="zh-CN"/>
        </w:rPr>
      </w:pPr>
      <w:r>
        <w:rPr>
          <w:rFonts w:hint="eastAsia" w:ascii="仿宋" w:hAnsi="仿宋" w:eastAsia="仿宋" w:cs="仿宋"/>
          <w:sz w:val="32"/>
          <w:szCs w:val="32"/>
          <w:lang w:val="zh-CN"/>
        </w:rPr>
        <w:t>（一）绩效管理工作开展情况。</w:t>
      </w:r>
    </w:p>
    <w:p>
      <w:pPr>
        <w:spacing w:beforeLines="0" w:afterLines="0"/>
        <w:jc w:val="left"/>
        <w:rPr>
          <w:rFonts w:hint="eastAsia" w:ascii="仿宋" w:hAnsi="仿宋" w:eastAsia="仿宋" w:cs="仿宋"/>
          <w:sz w:val="32"/>
          <w:szCs w:val="32"/>
          <w:lang w:val="zh-CN"/>
        </w:rPr>
      </w:pPr>
      <w:r>
        <w:rPr>
          <w:rFonts w:hint="eastAsia" w:ascii="仿宋" w:hAnsi="仿宋" w:eastAsia="仿宋" w:cs="仿宋"/>
          <w:sz w:val="32"/>
          <w:szCs w:val="32"/>
          <w:lang w:val="zh-CN"/>
        </w:rPr>
        <w:t>一是建立健全工作机制，为了顺利进行预算绩效管理工作实施，财政部门内建立相应的工做机制和操作规程。</w:t>
      </w:r>
    </w:p>
    <w:p>
      <w:pPr>
        <w:spacing w:beforeLines="0" w:afterLines="0"/>
        <w:jc w:val="left"/>
        <w:rPr>
          <w:rFonts w:hint="eastAsia" w:ascii="仿宋" w:hAnsi="仿宋" w:eastAsia="仿宋" w:cs="仿宋"/>
          <w:sz w:val="32"/>
          <w:szCs w:val="32"/>
          <w:lang w:val="zh-CN"/>
        </w:rPr>
      </w:pPr>
      <w:r>
        <w:rPr>
          <w:rFonts w:hint="eastAsia" w:ascii="仿宋" w:hAnsi="仿宋" w:eastAsia="仿宋" w:cs="仿宋"/>
          <w:sz w:val="32"/>
          <w:szCs w:val="32"/>
          <w:lang w:val="zh-CN"/>
        </w:rPr>
        <w:t>二是加强完善制度建设，结合当年预算绩效管理目标任务，从预算源头抓起，进一步落实，不论参评项目设计多少资金，都需要立项依据充分，与民生保障和社会发展密切相关，能充分体现部门履行职能的项目要求编制项目绩效目标，预算完成评价，评估结果有反应、反应结果有运用，的预算绩效管理机制。</w:t>
      </w:r>
    </w:p>
    <w:p>
      <w:pPr>
        <w:spacing w:beforeLines="0" w:afterLines="0"/>
        <w:jc w:val="left"/>
        <w:rPr>
          <w:rFonts w:hint="eastAsia" w:ascii="仿宋" w:hAnsi="仿宋" w:eastAsia="仿宋" w:cs="仿宋"/>
          <w:sz w:val="32"/>
          <w:szCs w:val="32"/>
          <w:lang w:val="zh-CN"/>
        </w:rPr>
      </w:pPr>
      <w:r>
        <w:rPr>
          <w:rFonts w:hint="eastAsia" w:ascii="仿宋" w:hAnsi="仿宋" w:eastAsia="仿宋" w:cs="仿宋"/>
          <w:sz w:val="32"/>
          <w:szCs w:val="32"/>
          <w:lang w:val="zh-CN"/>
        </w:rPr>
        <w:t>（二）项目绩效自评结果。</w:t>
      </w:r>
    </w:p>
    <w:p>
      <w:pPr>
        <w:spacing w:beforeLines="0" w:afterLines="0"/>
        <w:jc w:val="left"/>
        <w:rPr>
          <w:rFonts w:hint="default" w:ascii="仿宋" w:hAnsi="仿宋" w:eastAsia="仿宋" w:cs="仿宋"/>
          <w:sz w:val="32"/>
          <w:szCs w:val="32"/>
          <w:lang w:val="en-US" w:eastAsia="zh-CN"/>
        </w:rPr>
      </w:pPr>
      <w:r>
        <w:rPr>
          <w:rFonts w:hint="eastAsia" w:ascii="仿宋" w:hAnsi="仿宋" w:eastAsia="仿宋" w:cs="仿宋"/>
          <w:sz w:val="32"/>
          <w:szCs w:val="32"/>
          <w:lang w:val="zh-CN"/>
        </w:rPr>
        <w:t>绩效管理成效显著，根据我镇</w:t>
      </w:r>
      <w:r>
        <w:rPr>
          <w:rFonts w:hint="eastAsia" w:ascii="仿宋" w:hAnsi="仿宋" w:eastAsia="仿宋" w:cs="仿宋"/>
          <w:sz w:val="32"/>
          <w:szCs w:val="32"/>
          <w:lang w:val="en-US" w:eastAsia="zh-CN"/>
        </w:rPr>
        <w:t>2020年几个预算项目进行绩效目标考评，项目支出完成比较好，完成了既定目标，取得了良好的经济和社会效益。</w:t>
      </w:r>
    </w:p>
    <w:p>
      <w:pPr>
        <w:spacing w:beforeLines="0" w:afterLines="0"/>
        <w:jc w:val="left"/>
        <w:rPr>
          <w:rFonts w:hint="eastAsia" w:ascii="仿宋" w:hAnsi="仿宋" w:eastAsia="仿宋" w:cs="仿宋"/>
          <w:sz w:val="32"/>
          <w:szCs w:val="32"/>
          <w:lang w:val="zh-CN"/>
        </w:rPr>
      </w:pPr>
      <w:r>
        <w:rPr>
          <w:rFonts w:hint="eastAsia" w:ascii="仿宋" w:hAnsi="仿宋" w:eastAsia="仿宋" w:cs="仿宋"/>
          <w:sz w:val="32"/>
          <w:szCs w:val="32"/>
          <w:lang w:val="zh-CN"/>
        </w:rPr>
        <w:t>（三）以单位为主体开展的重点绩效评价结果。</w:t>
      </w:r>
    </w:p>
    <w:p>
      <w:pPr>
        <w:spacing w:beforeLines="0" w:afterLines="0"/>
        <w:jc w:val="left"/>
        <w:rPr>
          <w:rFonts w:hint="eastAsia" w:ascii="仿宋" w:hAnsi="仿宋" w:eastAsia="仿宋" w:cs="仿宋"/>
          <w:sz w:val="32"/>
          <w:szCs w:val="32"/>
          <w:lang w:val="en-US" w:eastAsia="zh-CN"/>
        </w:rPr>
      </w:pPr>
      <w:r>
        <w:rPr>
          <w:rFonts w:hint="eastAsia" w:ascii="仿宋" w:hAnsi="仿宋" w:eastAsia="仿宋" w:cs="仿宋"/>
          <w:sz w:val="32"/>
          <w:szCs w:val="32"/>
          <w:lang w:val="zh-CN" w:eastAsia="zh-CN"/>
        </w:rPr>
        <w:t>根据考核结果确定的发放标准来发放考核津贴</w:t>
      </w:r>
      <w:r>
        <w:rPr>
          <w:rFonts w:hint="eastAsia" w:ascii="仿宋" w:hAnsi="仿宋" w:eastAsia="仿宋" w:cs="仿宋"/>
          <w:sz w:val="32"/>
          <w:szCs w:val="32"/>
          <w:lang w:val="en-US" w:eastAsia="zh-CN"/>
        </w:rPr>
        <w:t>,制定绩效改进的计划并实施，增加职工对提升绩效的强大动力。</w:t>
      </w:r>
    </w:p>
    <w:p>
      <w:pPr>
        <w:spacing w:beforeLines="0" w:afterLines="0"/>
        <w:jc w:val="left"/>
        <w:rPr>
          <w:rFonts w:hint="eastAsia" w:ascii="仿宋" w:hAnsi="仿宋" w:eastAsia="仿宋" w:cs="仿宋"/>
          <w:sz w:val="32"/>
          <w:szCs w:val="32"/>
          <w:lang w:val="zh-CN"/>
        </w:rPr>
      </w:pPr>
      <w:r>
        <w:rPr>
          <w:rFonts w:hint="eastAsia" w:ascii="仿宋" w:hAnsi="仿宋" w:eastAsia="仿宋" w:cs="仿宋"/>
          <w:sz w:val="32"/>
          <w:szCs w:val="32"/>
          <w:lang w:val="zh-CN"/>
        </w:rPr>
        <w:t>九、政府性基金预算财政拨款支出决算情况说明</w:t>
      </w:r>
    </w:p>
    <w:p>
      <w:pPr>
        <w:spacing w:beforeLines="0" w:afterLines="0"/>
        <w:jc w:val="left"/>
        <w:rPr>
          <w:rFonts w:hint="eastAsia" w:ascii="仿宋" w:hAnsi="仿宋" w:eastAsia="仿宋" w:cs="仿宋"/>
          <w:sz w:val="32"/>
          <w:szCs w:val="32"/>
          <w:lang w:val="zh-CN"/>
        </w:rPr>
      </w:pPr>
      <w:r>
        <w:rPr>
          <w:rFonts w:hint="eastAsia" w:ascii="仿宋" w:hAnsi="仿宋" w:eastAsia="仿宋" w:cs="仿宋"/>
          <w:sz w:val="32"/>
          <w:szCs w:val="32"/>
          <w:lang w:val="zh-CN"/>
        </w:rPr>
        <w:t>2020年度政府性基金预算财政拨款支出年初预算为10,540万元，支出决算为105,4</w:t>
      </w:r>
      <w:r>
        <w:rPr>
          <w:rFonts w:hint="eastAsia" w:ascii="仿宋" w:hAnsi="仿宋" w:eastAsia="仿宋" w:cs="仿宋"/>
          <w:sz w:val="32"/>
          <w:szCs w:val="32"/>
          <w:lang w:val="en-US" w:eastAsia="zh-CN"/>
        </w:rPr>
        <w:t>0</w:t>
      </w:r>
      <w:r>
        <w:rPr>
          <w:rFonts w:hint="eastAsia" w:ascii="仿宋" w:hAnsi="仿宋" w:eastAsia="仿宋" w:cs="仿宋"/>
          <w:sz w:val="32"/>
          <w:szCs w:val="32"/>
          <w:lang w:val="zh-CN"/>
        </w:rPr>
        <w:t>万元，完成年初预算的100%。主要用于项目建设。</w:t>
      </w:r>
    </w:p>
    <w:p>
      <w:pPr>
        <w:spacing w:beforeLines="0" w:afterLines="0"/>
        <w:jc w:val="left"/>
        <w:rPr>
          <w:rFonts w:hint="eastAsia" w:ascii="仿宋" w:hAnsi="仿宋" w:eastAsia="仿宋" w:cs="仿宋"/>
          <w:sz w:val="32"/>
          <w:szCs w:val="32"/>
          <w:lang w:val="zh-CN"/>
        </w:rPr>
      </w:pPr>
      <w:r>
        <w:rPr>
          <w:rFonts w:hint="eastAsia" w:ascii="仿宋" w:hAnsi="仿宋" w:eastAsia="仿宋" w:cs="仿宋"/>
          <w:sz w:val="32"/>
          <w:szCs w:val="32"/>
          <w:lang w:val="zh-CN"/>
        </w:rPr>
        <w:t>十、机关运行经费支出情况说明</w:t>
      </w:r>
    </w:p>
    <w:p>
      <w:pPr>
        <w:spacing w:beforeLines="0" w:afterLines="0"/>
        <w:jc w:val="left"/>
        <w:rPr>
          <w:rFonts w:hint="eastAsia" w:ascii="仿宋" w:hAnsi="仿宋" w:eastAsia="仿宋" w:cs="仿宋"/>
          <w:sz w:val="32"/>
          <w:szCs w:val="32"/>
          <w:lang w:val="zh-CN"/>
        </w:rPr>
      </w:pPr>
      <w:r>
        <w:rPr>
          <w:rFonts w:hint="eastAsia" w:ascii="仿宋" w:hAnsi="仿宋" w:eastAsia="仿宋" w:cs="仿宋"/>
          <w:sz w:val="32"/>
          <w:szCs w:val="32"/>
          <w:lang w:val="zh-CN"/>
        </w:rPr>
        <w:t>2020年度机关运行经费初预算为</w:t>
      </w:r>
      <w:r>
        <w:rPr>
          <w:rFonts w:hint="eastAsia" w:ascii="仿宋" w:hAnsi="仿宋" w:eastAsia="仿宋" w:cs="仿宋"/>
          <w:sz w:val="32"/>
          <w:szCs w:val="32"/>
          <w:lang w:val="en-US" w:eastAsia="zh-CN"/>
        </w:rPr>
        <w:t>1784</w:t>
      </w:r>
      <w:r>
        <w:rPr>
          <w:rFonts w:hint="eastAsia" w:ascii="仿宋" w:hAnsi="仿宋" w:eastAsia="仿宋" w:cs="仿宋"/>
          <w:sz w:val="32"/>
          <w:szCs w:val="32"/>
          <w:lang w:val="zh-CN"/>
        </w:rPr>
        <w:t>万元，支出决算为</w:t>
      </w:r>
      <w:r>
        <w:rPr>
          <w:rFonts w:hint="eastAsia" w:ascii="仿宋" w:hAnsi="仿宋" w:eastAsia="仿宋" w:cs="仿宋"/>
          <w:sz w:val="32"/>
          <w:szCs w:val="32"/>
          <w:lang w:val="en-US" w:eastAsia="zh-CN"/>
        </w:rPr>
        <w:t>1881</w:t>
      </w:r>
      <w:r>
        <w:rPr>
          <w:rFonts w:hint="eastAsia" w:ascii="仿宋" w:hAnsi="仿宋" w:eastAsia="仿宋" w:cs="仿宋"/>
          <w:sz w:val="32"/>
          <w:szCs w:val="32"/>
          <w:lang w:val="zh-CN"/>
        </w:rPr>
        <w:t>万元，完成年初预算的</w:t>
      </w:r>
      <w:r>
        <w:rPr>
          <w:rFonts w:hint="eastAsia" w:ascii="仿宋" w:hAnsi="仿宋" w:eastAsia="仿宋" w:cs="仿宋"/>
          <w:sz w:val="32"/>
          <w:szCs w:val="32"/>
          <w:lang w:val="en-US" w:eastAsia="zh-CN"/>
        </w:rPr>
        <w:t>105</w:t>
      </w:r>
      <w:r>
        <w:rPr>
          <w:rFonts w:hint="eastAsia" w:ascii="仿宋" w:hAnsi="仿宋" w:eastAsia="仿宋" w:cs="仿宋"/>
          <w:sz w:val="32"/>
          <w:szCs w:val="32"/>
          <w:lang w:val="zh-CN"/>
        </w:rPr>
        <w:t>%。决算数与年初预算数存在差异的主要原因是工资调整。</w:t>
      </w:r>
    </w:p>
    <w:p>
      <w:pPr>
        <w:spacing w:beforeLines="0" w:afterLines="0"/>
        <w:jc w:val="left"/>
        <w:rPr>
          <w:rFonts w:hint="eastAsia" w:ascii="仿宋" w:hAnsi="仿宋" w:eastAsia="仿宋" w:cs="仿宋"/>
          <w:sz w:val="32"/>
          <w:szCs w:val="32"/>
          <w:lang w:val="zh-CN"/>
        </w:rPr>
      </w:pPr>
      <w:r>
        <w:rPr>
          <w:rFonts w:hint="eastAsia" w:ascii="仿宋" w:hAnsi="仿宋" w:eastAsia="仿宋" w:cs="仿宋"/>
          <w:sz w:val="32"/>
          <w:szCs w:val="32"/>
          <w:lang w:val="zh-CN"/>
        </w:rPr>
        <w:t>十一、政府采购支出情况说明</w:t>
      </w:r>
    </w:p>
    <w:p>
      <w:pPr>
        <w:spacing w:beforeLines="0" w:afterLines="0"/>
        <w:ind w:firstLine="640" w:firstLineChars="200"/>
        <w:jc w:val="left"/>
        <w:rPr>
          <w:rFonts w:hint="eastAsia" w:ascii="仿宋" w:hAnsi="仿宋" w:eastAsia="仿宋" w:cs="仿宋"/>
          <w:sz w:val="32"/>
          <w:szCs w:val="32"/>
          <w:lang w:val="zh-CN"/>
        </w:rPr>
      </w:pPr>
      <w:r>
        <w:rPr>
          <w:rFonts w:hint="eastAsia" w:ascii="仿宋" w:hAnsi="仿宋" w:eastAsia="仿宋" w:cs="仿宋"/>
          <w:sz w:val="32"/>
          <w:szCs w:val="32"/>
          <w:lang w:val="zh-CN"/>
        </w:rPr>
        <w:t>2020年度政府采购支出总额</w:t>
      </w:r>
      <w:r>
        <w:rPr>
          <w:rFonts w:hint="eastAsia" w:ascii="仿宋" w:hAnsi="仿宋" w:eastAsia="仿宋" w:cs="仿宋"/>
          <w:sz w:val="32"/>
          <w:szCs w:val="32"/>
          <w:lang w:val="en-US" w:eastAsia="zh-CN"/>
        </w:rPr>
        <w:t>0</w:t>
      </w:r>
      <w:r>
        <w:rPr>
          <w:rFonts w:hint="eastAsia" w:ascii="仿宋" w:hAnsi="仿宋" w:eastAsia="仿宋" w:cs="仿宋"/>
          <w:sz w:val="32"/>
          <w:szCs w:val="32"/>
          <w:lang w:val="zh-CN"/>
        </w:rPr>
        <w:t>万元，其中：政府采购货物支出</w:t>
      </w:r>
      <w:r>
        <w:rPr>
          <w:rFonts w:hint="eastAsia" w:ascii="仿宋" w:hAnsi="仿宋" w:eastAsia="仿宋" w:cs="仿宋"/>
          <w:sz w:val="32"/>
          <w:szCs w:val="32"/>
          <w:lang w:val="en-US" w:eastAsia="zh-CN"/>
        </w:rPr>
        <w:t>0</w:t>
      </w:r>
      <w:r>
        <w:rPr>
          <w:rFonts w:hint="eastAsia" w:ascii="仿宋" w:hAnsi="仿宋" w:eastAsia="仿宋" w:cs="仿宋"/>
          <w:sz w:val="32"/>
          <w:szCs w:val="32"/>
          <w:lang w:val="zh-CN"/>
        </w:rPr>
        <w:t>万元、政府采购工程支出</w:t>
      </w:r>
      <w:r>
        <w:rPr>
          <w:rFonts w:hint="eastAsia" w:ascii="仿宋" w:hAnsi="仿宋" w:eastAsia="仿宋" w:cs="仿宋"/>
          <w:sz w:val="32"/>
          <w:szCs w:val="32"/>
          <w:lang w:val="en-US" w:eastAsia="zh-CN"/>
        </w:rPr>
        <w:t>0</w:t>
      </w:r>
      <w:r>
        <w:rPr>
          <w:rFonts w:hint="eastAsia" w:ascii="仿宋" w:hAnsi="仿宋" w:eastAsia="仿宋" w:cs="仿宋"/>
          <w:sz w:val="32"/>
          <w:szCs w:val="32"/>
          <w:lang w:val="zh-CN"/>
        </w:rPr>
        <w:t>万元、政府采购服务支出</w:t>
      </w:r>
      <w:r>
        <w:rPr>
          <w:rFonts w:hint="eastAsia" w:ascii="仿宋" w:hAnsi="仿宋" w:eastAsia="仿宋" w:cs="仿宋"/>
          <w:sz w:val="32"/>
          <w:szCs w:val="32"/>
          <w:lang w:val="en-US" w:eastAsia="zh-CN"/>
        </w:rPr>
        <w:t>0</w:t>
      </w:r>
      <w:r>
        <w:rPr>
          <w:rFonts w:hint="eastAsia" w:ascii="仿宋" w:hAnsi="仿宋" w:eastAsia="仿宋" w:cs="仿宋"/>
          <w:sz w:val="32"/>
          <w:szCs w:val="32"/>
          <w:lang w:val="zh-CN"/>
        </w:rPr>
        <w:t>万元。授予中小企业合同金额</w:t>
      </w:r>
      <w:r>
        <w:rPr>
          <w:rFonts w:hint="eastAsia" w:ascii="仿宋" w:hAnsi="仿宋" w:eastAsia="仿宋" w:cs="仿宋"/>
          <w:sz w:val="32"/>
          <w:szCs w:val="32"/>
          <w:lang w:val="en-US" w:eastAsia="zh-CN"/>
        </w:rPr>
        <w:t>0</w:t>
      </w:r>
      <w:r>
        <w:rPr>
          <w:rFonts w:hint="eastAsia" w:ascii="仿宋" w:hAnsi="仿宋" w:eastAsia="仿宋" w:cs="仿宋"/>
          <w:sz w:val="32"/>
          <w:szCs w:val="32"/>
          <w:lang w:val="zh-CN"/>
        </w:rPr>
        <w:t>万元，占政府采购支出总额的%，其中：授予小微企业合同金额</w:t>
      </w:r>
      <w:r>
        <w:rPr>
          <w:rFonts w:hint="eastAsia" w:ascii="仿宋" w:hAnsi="仿宋" w:eastAsia="仿宋" w:cs="仿宋"/>
          <w:sz w:val="32"/>
          <w:szCs w:val="32"/>
          <w:lang w:val="en-US" w:eastAsia="zh-CN"/>
        </w:rPr>
        <w:t>0</w:t>
      </w:r>
      <w:r>
        <w:rPr>
          <w:rFonts w:hint="eastAsia" w:ascii="仿宋" w:hAnsi="仿宋" w:eastAsia="仿宋" w:cs="仿宋"/>
          <w:sz w:val="32"/>
          <w:szCs w:val="32"/>
          <w:lang w:val="zh-CN"/>
        </w:rPr>
        <w:t>万元，占政府采购支出总额的%。</w:t>
      </w:r>
    </w:p>
    <w:p>
      <w:pPr>
        <w:spacing w:beforeLines="0" w:afterLines="0"/>
        <w:jc w:val="left"/>
        <w:rPr>
          <w:rFonts w:hint="eastAsia" w:ascii="仿宋" w:hAnsi="仿宋" w:eastAsia="仿宋" w:cs="仿宋"/>
          <w:sz w:val="32"/>
          <w:szCs w:val="32"/>
          <w:lang w:val="zh-CN"/>
        </w:rPr>
      </w:pPr>
      <w:r>
        <w:rPr>
          <w:rFonts w:hint="eastAsia" w:ascii="仿宋" w:hAnsi="仿宋" w:eastAsia="仿宋" w:cs="仿宋"/>
          <w:sz w:val="32"/>
          <w:szCs w:val="32"/>
          <w:lang w:val="zh-CN"/>
        </w:rPr>
        <w:t>十二、国有资产占用情况说明</w:t>
      </w:r>
    </w:p>
    <w:p>
      <w:pPr>
        <w:spacing w:beforeLines="0" w:afterLines="0"/>
        <w:ind w:firstLine="640" w:firstLineChars="200"/>
        <w:jc w:val="left"/>
        <w:rPr>
          <w:rFonts w:hint="eastAsia" w:ascii="仿宋" w:hAnsi="仿宋" w:eastAsia="仿宋" w:cs="仿宋"/>
          <w:sz w:val="32"/>
          <w:szCs w:val="32"/>
          <w:lang w:val="zh-CN"/>
        </w:rPr>
      </w:pPr>
      <w:r>
        <w:rPr>
          <w:rFonts w:hint="eastAsia" w:ascii="仿宋" w:hAnsi="仿宋" w:eastAsia="仿宋" w:cs="仿宋"/>
          <w:sz w:val="32"/>
          <w:szCs w:val="32"/>
          <w:lang w:val="zh-CN"/>
        </w:rPr>
        <w:t>2020年期末，我单位共有车辆6辆，其中：省级领导干部用车0辆、主要领导干部用车0辆、机要通信用车0辆、应急保障车0辆、执法执勤用车0辆、特种专业技术用车0辆、离退休干部用车0辆、其他用车6辆；单位价值50万元以上通用设备0台（套），单位价值100万元以上专用设备0.台（套）。</w:t>
      </w:r>
    </w:p>
    <w:p>
      <w:pPr>
        <w:widowControl/>
        <w:jc w:val="left"/>
        <w:rPr>
          <w:rFonts w:hint="eastAsia" w:ascii="仿宋" w:hAnsi="仿宋" w:eastAsia="仿宋" w:cs="仿宋"/>
          <w:kern w:val="0"/>
          <w:sz w:val="32"/>
          <w:szCs w:val="32"/>
        </w:rPr>
      </w:pPr>
    </w:p>
    <w:p>
      <w:pPr>
        <w:widowControl/>
        <w:jc w:val="left"/>
        <w:rPr>
          <w:rFonts w:hint="eastAsia" w:ascii="仿宋" w:hAnsi="仿宋" w:eastAsia="仿宋" w:cs="仿宋"/>
          <w:kern w:val="0"/>
          <w:sz w:val="32"/>
          <w:szCs w:val="32"/>
        </w:rPr>
      </w:pPr>
    </w:p>
    <w:p>
      <w:pPr>
        <w:widowControl/>
        <w:jc w:val="left"/>
        <w:rPr>
          <w:rFonts w:hint="eastAsia" w:ascii="仿宋" w:hAnsi="仿宋" w:eastAsia="仿宋" w:cs="仿宋"/>
          <w:kern w:val="0"/>
          <w:sz w:val="32"/>
          <w:szCs w:val="32"/>
        </w:rPr>
      </w:pPr>
    </w:p>
    <w:p>
      <w:pPr>
        <w:widowControl/>
        <w:jc w:val="left"/>
        <w:rPr>
          <w:rFonts w:hint="eastAsia" w:ascii="仿宋" w:hAnsi="仿宋" w:eastAsia="仿宋" w:cs="仿宋"/>
          <w:kern w:val="0"/>
          <w:sz w:val="32"/>
          <w:szCs w:val="32"/>
        </w:rPr>
      </w:pPr>
    </w:p>
    <w:p>
      <w:pPr>
        <w:widowControl/>
        <w:jc w:val="left"/>
        <w:rPr>
          <w:rFonts w:hint="eastAsia" w:ascii="仿宋" w:hAnsi="仿宋" w:eastAsia="仿宋" w:cs="仿宋"/>
          <w:kern w:val="0"/>
          <w:sz w:val="32"/>
          <w:szCs w:val="32"/>
        </w:rPr>
      </w:pPr>
    </w:p>
    <w:p>
      <w:pPr>
        <w:widowControl/>
        <w:jc w:val="left"/>
        <w:rPr>
          <w:rFonts w:hint="eastAsia" w:ascii="仿宋" w:hAnsi="仿宋" w:eastAsia="仿宋" w:cs="仿宋"/>
          <w:kern w:val="0"/>
          <w:sz w:val="32"/>
          <w:szCs w:val="32"/>
        </w:rPr>
      </w:pPr>
    </w:p>
    <w:p>
      <w:pPr>
        <w:widowControl/>
        <w:jc w:val="left"/>
        <w:rPr>
          <w:rFonts w:hint="eastAsia" w:ascii="黑体" w:hAnsi="宋体" w:eastAsia="黑体" w:cs="宋体"/>
          <w:kern w:val="0"/>
          <w:sz w:val="28"/>
          <w:szCs w:val="28"/>
        </w:rPr>
      </w:pPr>
    </w:p>
    <w:p>
      <w:pPr>
        <w:jc w:val="center"/>
        <w:outlineLvl w:val="0"/>
        <w:rPr>
          <w:rFonts w:hint="eastAsia" w:ascii="黑体" w:hAnsi="黑体" w:eastAsia="黑体" w:cs="黑体"/>
          <w:sz w:val="48"/>
          <w:szCs w:val="48"/>
        </w:rPr>
      </w:pPr>
      <w:r>
        <w:rPr>
          <w:rFonts w:hint="eastAsia" w:ascii="黑体" w:hAnsi="黑体" w:eastAsia="黑体" w:cs="黑体"/>
          <w:sz w:val="48"/>
          <w:szCs w:val="48"/>
        </w:rPr>
        <w:t>第四部分  名词解释</w:t>
      </w:r>
    </w:p>
    <w:p>
      <w:pPr>
        <w:jc w:val="center"/>
        <w:rPr>
          <w:rFonts w:hint="eastAsia" w:ascii="黑体" w:hAnsi="黑体" w:eastAsia="黑体" w:cs="黑体"/>
          <w:sz w:val="48"/>
          <w:szCs w:val="48"/>
        </w:rPr>
      </w:pPr>
    </w:p>
    <w:p>
      <w:pPr>
        <w:jc w:val="center"/>
        <w:outlineLvl w:val="0"/>
        <w:rPr>
          <w:rFonts w:hint="eastAsia" w:ascii="黑体" w:hAnsi="黑体" w:eastAsia="黑体" w:cs="黑体"/>
          <w:sz w:val="48"/>
          <w:szCs w:val="48"/>
        </w:rPr>
        <w:sectPr>
          <w:pgSz w:w="11906" w:h="16838"/>
          <w:pgMar w:top="1440" w:right="1531" w:bottom="1440" w:left="1587" w:header="850" w:footer="992" w:gutter="0"/>
          <w:pgNumType w:fmt="numberInDash"/>
          <w:cols w:space="720" w:num="1"/>
          <w:docGrid w:type="lines" w:linePitch="317" w:charSpace="0"/>
        </w:sectPr>
      </w:pP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一、财政拨款收入：单位从同级政府财政部门取得的财政预算资金。</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二、事业收入：事业单位开展专业业务活动及其辅助活动取得的收入。</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三、上级补助收入：事业单位从主管部门和上级单位取得的非财政补助收入。</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四、附属单位上缴收入：事业单位取得附属独立核算单位根据有关规定上缴的收入。</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五、经营收入：事业单位在专业业务活动及其辅助活动之外开展非独立核算经营活动取得的收入。</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六、其他收入：单位取得的除“财政拨款收入”、“事业收入”、“上级补助收入”、“附属单位上缴收入”、“经营收入”以外的各项收入。</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用事业基金弥补收支差额：事业单位在当年收入不足以安排当年支出的情况下，使用以前年度积累的事业基金（事业单位当年收支相抵后按国家规定提取、用于弥补以后年度收支差额的基金）弥补当年收支缺口的资金。</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八、基本支出：为保障机构正常运转、完成日常工作任务而发生的人员支出和公用支出。</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九、项目支出：基本支出之外为完成特定行政任务和事业发展目标所发生的支出。</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三公”经费：纳入同级财政预决算管理“三公”经费，指部门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一、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十二、工资福利支出：单位支付给在职职工和编制外长期聘用人员的各类劳动报酬，以及为上述人员缴纳的各项社会保险费等。</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十三、商品和服务支出：单位购买商品和服务的支出。</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十四、对个人和家庭的补助支出：单位用于对个人和家庭的补助支出。</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十五、年末结转：本年度或以前年度预算安排，已执行但尚未完成或因客观条件发生变化无法按原计划实施，需延迟到以后年度按有关规定继续使用的资金。</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十六、年末结余：本年度或以前年度预算安排，已执行完毕或因客观条件发生变化无法按原预算安排实施，不需要再使用或无法按原预算安排继续使用的资金</w:t>
      </w:r>
    </w:p>
    <w:p/>
    <w:sectPr>
      <w:pgSz w:w="11906" w:h="16838"/>
      <w:pgMar w:top="1928" w:right="1474" w:bottom="1701" w:left="1588"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仿宋">
    <w:altName w:val="微软雅黑"/>
    <w:panose1 w:val="02010609060101010101"/>
    <w:charset w:val="86"/>
    <w:family w:val="auto"/>
    <w:pitch w:val="default"/>
    <w:sig w:usb0="00000000" w:usb1="00000000" w:usb2="00000016" w:usb3="00000000" w:csb0="00040001" w:csb1="00000000"/>
  </w:font>
  <w:font w:name="微软雅黑">
    <w:panose1 w:val="020B0503020204020204"/>
    <w:charset w:val="86"/>
    <w:family w:val="auto"/>
    <w:pitch w:val="default"/>
    <w:sig w:usb0="80000287" w:usb1="2A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205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- 21 -</w:t>
                          </w:r>
                          <w:r>
                            <w:rPr>
                              <w:rFonts w:hint="eastAsia"/>
                              <w:sz w:val="18"/>
                            </w:rPr>
                            <w:fldChar w:fldCharType="end"/>
                          </w:r>
                        </w:p>
                      </w:txbxContent>
                    </wps:txbx>
                    <wps:bodyPr wrap="none" lIns="0" tIns="0" rIns="0" bIns="0" upright="0">
                      <a:spAutoFit/>
                    </wps:bodyPr>
                  </wps:wsp>
                </a:graphicData>
              </a:graphic>
            </wp:anchor>
          </w:drawing>
        </mc:Choice>
        <mc:Fallback>
          <w:pict>
            <v:shape id="文本框 2054"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M6p&#10;ebnPAAAABQEAAA8AAAAAAAAAAQAgAAAAIgAAAGRycy9kb3ducmV2LnhtbFBLAQIUABQAAAAIAIdO&#10;4kACXGLqugEAAFcDAAAOAAAAAAAAAAEAIAAAAB4BAABkcnMvZTJvRG9jLnhtbFBLBQYAAAAABgAG&#10;AFkBAABKBQ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- 21 -</w:t>
                    </w:r>
                    <w:r>
                      <w:rPr>
                        <w:rFonts w:hint="eastAsia"/>
                        <w:sz w:val="18"/>
                      </w:rPr>
                      <w:fldChar w:fldCharType="end"/>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0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rPr>
                              <w:rFonts w:hint="eastAsia"/>
                            </w:rPr>
                          </w:pPr>
                        </w:p>
                      </w:txbxContent>
                    </wps:txbx>
                    <wps:bodyPr wrap="none" lIns="0" tIns="0" rIns="0" bIns="0" upright="0">
                      <a:spAutoFit/>
                    </wps:bodyPr>
                  </wps:wsp>
                </a:graphicData>
              </a:graphic>
            </wp:anchor>
          </w:drawing>
        </mc:Choice>
        <mc:Fallback>
          <w:pict>
            <v:shape id="文本框 1027"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M6p&#10;ebnPAAAABQEAAA8AAAAAAAAAAQAgAAAAIgAAAGRycy9kb3ducmV2LnhtbFBLAQIUABQAAAAIAIdO&#10;4kAh3UF8ugEAAFcDAAAOAAAAAAAAAAEAIAAAAB4BAABkcnMvZTJvRG9jLnhtbFBLBQYAAAAABgAG&#10;AFkBAABKBQAAAAA=&#10;">
              <v:fill on="f" focussize="0,0"/>
              <v:stroke on="f"/>
              <v:imagedata o:title=""/>
              <o:lock v:ext="edit" aspectratio="f"/>
              <v:textbox inset="0mm,0mm,0mm,0mm" style="mso-fit-shape-to-text:t;">
                <w:txbxContent>
                  <w:p>
                    <w:pPr>
                      <w:rPr>
                        <w:rFonts w:hint="eastAsia"/>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205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- 22 -</w:t>
                          </w:r>
                          <w:r>
                            <w:rPr>
                              <w:rFonts w:hint="eastAsia"/>
                              <w:sz w:val="18"/>
                            </w:rPr>
                            <w:fldChar w:fldCharType="end"/>
                          </w:r>
                        </w:p>
                      </w:txbxContent>
                    </wps:txbx>
                    <wps:bodyPr wrap="none" lIns="0" tIns="0" rIns="0" bIns="0" upright="0">
                      <a:spAutoFit/>
                    </wps:bodyPr>
                  </wps:wsp>
                </a:graphicData>
              </a:graphic>
            </wp:anchor>
          </w:drawing>
        </mc:Choice>
        <mc:Fallback>
          <w:pict>
            <v:shape id="文本框 2055"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M6p&#10;ebnPAAAABQEAAA8AAAAAAAAAAQAgAAAAIgAAAGRycy9kb3ducmV2LnhtbFBLAQIUABQAAAAIAIdO&#10;4kDZrQwJugEAAFcDAAAOAAAAAAAAAAEAIAAAAB4BAABkcnMvZTJvRG9jLnhtbFBLBQYAAAAABgAG&#10;AFkBAABKBQ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- 22 -</w:t>
                    </w:r>
                    <w:r>
                      <w:rPr>
                        <w:rFonts w:hint="eastAsia"/>
                        <w:sz w:val="1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964525B"/>
    <w:multiLevelType w:val="multilevel"/>
    <w:tmpl w:val="D964525B"/>
    <w:lvl w:ilvl="0" w:tentative="0">
      <w:start w:val="1"/>
      <w:numFmt w:val="chineseCounting"/>
      <w:suff w:val="nothing"/>
      <w:lvlText w:val="（%1）"/>
      <w:lvlJc w:val="left"/>
      <w:rPr>
        <w:rFonts w:hint="default" w:ascii="Times New Roman"/>
        <w:u w:val="none" w:color="auto"/>
      </w:rPr>
    </w:lvl>
    <w:lvl w:ilvl="1" w:tentative="0">
      <w:start w:val="1"/>
      <w:numFmt w:val="decimal"/>
      <w:lvlText w:val="（"/>
      <w:lvlJc w:val="left"/>
      <w:rPr>
        <w:rFonts w:hint="default" w:ascii="Times New Roman"/>
        <w:u w:val="none" w:color="auto"/>
      </w:rPr>
    </w:lvl>
    <w:lvl w:ilvl="2" w:tentative="0">
      <w:start w:val="1"/>
      <w:numFmt w:val="decimal"/>
      <w:lvlText w:val="（"/>
      <w:lvlJc w:val="left"/>
      <w:rPr>
        <w:rFonts w:hint="default" w:ascii="Times New Roman"/>
        <w:u w:val="none" w:color="auto"/>
      </w:rPr>
    </w:lvl>
    <w:lvl w:ilvl="3" w:tentative="0">
      <w:start w:val="1"/>
      <w:numFmt w:val="decimal"/>
      <w:lvlText w:val="（"/>
      <w:lvlJc w:val="left"/>
      <w:rPr>
        <w:rFonts w:hint="default" w:ascii="Times New Roman"/>
        <w:u w:val="none" w:color="auto"/>
      </w:rPr>
    </w:lvl>
    <w:lvl w:ilvl="4" w:tentative="0">
      <w:start w:val="1"/>
      <w:numFmt w:val="decimal"/>
      <w:lvlText w:val="（"/>
      <w:lvlJc w:val="left"/>
      <w:rPr>
        <w:rFonts w:hint="default" w:ascii="Times New Roman"/>
        <w:u w:val="none" w:color="auto"/>
      </w:rPr>
    </w:lvl>
    <w:lvl w:ilvl="5" w:tentative="0">
      <w:start w:val="1"/>
      <w:numFmt w:val="decimal"/>
      <w:lvlText w:val="（"/>
      <w:lvlJc w:val="left"/>
      <w:rPr>
        <w:rFonts w:hint="default" w:ascii="Times New Roman"/>
        <w:u w:val="none" w:color="auto"/>
      </w:rPr>
    </w:lvl>
    <w:lvl w:ilvl="6" w:tentative="0">
      <w:start w:val="1"/>
      <w:numFmt w:val="decimal"/>
      <w:lvlText w:val="（"/>
      <w:lvlJc w:val="left"/>
      <w:rPr>
        <w:rFonts w:hint="default" w:ascii="Times New Roman"/>
        <w:u w:val="none" w:color="auto"/>
      </w:rPr>
    </w:lvl>
    <w:lvl w:ilvl="7" w:tentative="0">
      <w:start w:val="1"/>
      <w:numFmt w:val="decimal"/>
      <w:lvlText w:val="（"/>
      <w:lvlJc w:val="left"/>
      <w:rPr>
        <w:rFonts w:hint="default" w:ascii="Times New Roman"/>
        <w:u w:val="none" w:color="auto"/>
      </w:rPr>
    </w:lvl>
    <w:lvl w:ilvl="8" w:tentative="0">
      <w:start w:val="1"/>
      <w:numFmt w:val="decimal"/>
      <w:lvlText w:val="（"/>
      <w:lvlJc w:val="left"/>
      <w:rPr>
        <w:rFonts w:hint="default" w:ascii="Times New Roman"/>
        <w:u w:val="none" w:color="auto"/>
      </w:rPr>
    </w:lvl>
  </w:abstractNum>
  <w:abstractNum w:abstractNumId="1">
    <w:nsid w:val="5971BE17"/>
    <w:multiLevelType w:val="singleLevel"/>
    <w:tmpl w:val="5971BE17"/>
    <w:lvl w:ilvl="0" w:tentative="0">
      <w:start w:val="1"/>
      <w:numFmt w:val="chineseCounting"/>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5942BD9"/>
    <w:rsid w:val="06071C00"/>
    <w:rsid w:val="068A502B"/>
    <w:rsid w:val="08977006"/>
    <w:rsid w:val="09FE02C4"/>
    <w:rsid w:val="0D4152C1"/>
    <w:rsid w:val="0DEB6D71"/>
    <w:rsid w:val="0E8C73B0"/>
    <w:rsid w:val="158A541A"/>
    <w:rsid w:val="159732E8"/>
    <w:rsid w:val="1CD11A0F"/>
    <w:rsid w:val="1CE046C9"/>
    <w:rsid w:val="1DC93F52"/>
    <w:rsid w:val="20832AF9"/>
    <w:rsid w:val="212705FD"/>
    <w:rsid w:val="21DC286A"/>
    <w:rsid w:val="22DC72AB"/>
    <w:rsid w:val="231F13E2"/>
    <w:rsid w:val="23B835F3"/>
    <w:rsid w:val="23C34794"/>
    <w:rsid w:val="23FD1417"/>
    <w:rsid w:val="240E06F2"/>
    <w:rsid w:val="24CF4F9C"/>
    <w:rsid w:val="28B17F93"/>
    <w:rsid w:val="2A902797"/>
    <w:rsid w:val="2B387B42"/>
    <w:rsid w:val="2C250F60"/>
    <w:rsid w:val="2CA20049"/>
    <w:rsid w:val="2D130667"/>
    <w:rsid w:val="2D5347F6"/>
    <w:rsid w:val="2EB14EC5"/>
    <w:rsid w:val="31116158"/>
    <w:rsid w:val="34BB2AED"/>
    <w:rsid w:val="34DC7EE6"/>
    <w:rsid w:val="34EC52ED"/>
    <w:rsid w:val="376874DE"/>
    <w:rsid w:val="37B828FA"/>
    <w:rsid w:val="3E4C25CA"/>
    <w:rsid w:val="405538F4"/>
    <w:rsid w:val="425337CA"/>
    <w:rsid w:val="42984050"/>
    <w:rsid w:val="44173330"/>
    <w:rsid w:val="4701142B"/>
    <w:rsid w:val="472D4EBF"/>
    <w:rsid w:val="47866D7F"/>
    <w:rsid w:val="47A636A7"/>
    <w:rsid w:val="497A2108"/>
    <w:rsid w:val="4ADA7529"/>
    <w:rsid w:val="4C3F5839"/>
    <w:rsid w:val="4EF60C64"/>
    <w:rsid w:val="4EFC09E4"/>
    <w:rsid w:val="4F9D5805"/>
    <w:rsid w:val="512A645A"/>
    <w:rsid w:val="51774F46"/>
    <w:rsid w:val="53132117"/>
    <w:rsid w:val="54152119"/>
    <w:rsid w:val="54777B72"/>
    <w:rsid w:val="5643634F"/>
    <w:rsid w:val="582A45F3"/>
    <w:rsid w:val="586B396F"/>
    <w:rsid w:val="587F2E51"/>
    <w:rsid w:val="59F9299C"/>
    <w:rsid w:val="5A8400A5"/>
    <w:rsid w:val="5D603570"/>
    <w:rsid w:val="5E4D2CD3"/>
    <w:rsid w:val="604E7DAC"/>
    <w:rsid w:val="65820403"/>
    <w:rsid w:val="66714FF7"/>
    <w:rsid w:val="69EE769D"/>
    <w:rsid w:val="6AA84590"/>
    <w:rsid w:val="6F43424A"/>
    <w:rsid w:val="745A29A4"/>
    <w:rsid w:val="769637AB"/>
    <w:rsid w:val="77A04764"/>
    <w:rsid w:val="78833C80"/>
    <w:rsid w:val="7B4E693A"/>
    <w:rsid w:val="7B58135F"/>
    <w:rsid w:val="7F7B516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qFormat/>
    <w:uiPriority w:val="0"/>
  </w:style>
  <w:style w:type="table" w:default="1" w:styleId="4">
    <w:name w:val="Normal Tabl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eastAsia="Times New Roman" w:cs="Times New Roman"/>
      <w:sz w:val="20"/>
      <w:szCs w:val="20"/>
    </w:rPr>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szCs w:val="18"/>
    </w:rPr>
  </w:style>
  <w:style w:type="character" w:styleId="6">
    <w:name w:val="annotation reference"/>
    <w:basedOn w:val="5"/>
    <w:qFormat/>
    <w:uiPriority w:val="0"/>
    <w:rPr>
      <w:sz w:val="21"/>
      <w:szCs w:val="21"/>
    </w:rPr>
  </w:style>
  <w:style w:type="character" w:customStyle="1" w:styleId="7">
    <w:name w:val="font11"/>
    <w:basedOn w:val="5"/>
    <w:qFormat/>
    <w:uiPriority w:val="0"/>
    <w:rPr>
      <w:rFonts w:hint="eastAsia" w:ascii="宋体" w:hAnsi="宋体" w:eastAsia="宋体" w:cs="宋体"/>
      <w:color w:val="000000"/>
      <w:sz w:val="20"/>
      <w:szCs w:val="20"/>
      <w:u w:val="none"/>
    </w:rPr>
  </w:style>
  <w:style w:type="character" w:customStyle="1" w:styleId="8">
    <w:name w:val="font01"/>
    <w:basedOn w:val="5"/>
    <w:qFormat/>
    <w:uiPriority w:val="0"/>
    <w:rPr>
      <w:rFonts w:hint="eastAsia" w:ascii="宋体" w:hAnsi="宋体" w:eastAsia="宋体" w:cs="宋体"/>
      <w:color w:val="000000"/>
      <w:sz w:val="22"/>
      <w:szCs w:val="22"/>
      <w:u w:val="none"/>
    </w:rPr>
  </w:style>
  <w:style w:type="character" w:customStyle="1" w:styleId="9">
    <w:name w:val="font51"/>
    <w:basedOn w:val="5"/>
    <w:qFormat/>
    <w:uiPriority w:val="0"/>
    <w:rPr>
      <w:rFonts w:hint="eastAsia" w:ascii="宋体" w:hAnsi="宋体" w:eastAsia="宋体" w:cs="宋体"/>
      <w:color w:val="000000"/>
      <w:sz w:val="24"/>
      <w:szCs w:val="24"/>
      <w:u w:val="none"/>
    </w:rPr>
  </w:style>
  <w:style w:type="character" w:customStyle="1" w:styleId="10">
    <w:name w:val="font41"/>
    <w:basedOn w:val="5"/>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image" Target="media/image2.emf"/><Relationship Id="rId8" Type="http://schemas.openxmlformats.org/officeDocument/2006/relationships/oleObject" Target="embeddings/oleObject2.bin"/><Relationship Id="rId7" Type="http://schemas.openxmlformats.org/officeDocument/2006/relationships/image" Target="media/image1.emf"/><Relationship Id="rId6" Type="http://schemas.openxmlformats.org/officeDocument/2006/relationships/oleObject" Target="embeddings/oleObject1.bin"/><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2" Type="http://schemas.openxmlformats.org/officeDocument/2006/relationships/fontTable" Target="fontTable.xml"/><Relationship Id="rId21" Type="http://schemas.openxmlformats.org/officeDocument/2006/relationships/numbering" Target="numbering.xml"/><Relationship Id="rId20" Type="http://schemas.openxmlformats.org/officeDocument/2006/relationships/customXml" Target="../customXml/item1.xml"/><Relationship Id="rId2" Type="http://schemas.openxmlformats.org/officeDocument/2006/relationships/settings" Target="settings.xml"/><Relationship Id="rId19" Type="http://schemas.openxmlformats.org/officeDocument/2006/relationships/image" Target="media/image7.emf"/><Relationship Id="rId18" Type="http://schemas.openxmlformats.org/officeDocument/2006/relationships/oleObject" Target="embeddings/oleObject7.bin"/><Relationship Id="rId17" Type="http://schemas.openxmlformats.org/officeDocument/2006/relationships/image" Target="media/image6.emf"/><Relationship Id="rId16" Type="http://schemas.openxmlformats.org/officeDocument/2006/relationships/oleObject" Target="embeddings/oleObject6.bin"/><Relationship Id="rId15" Type="http://schemas.openxmlformats.org/officeDocument/2006/relationships/image" Target="media/image5.emf"/><Relationship Id="rId14" Type="http://schemas.openxmlformats.org/officeDocument/2006/relationships/oleObject" Target="embeddings/oleObject5.bin"/><Relationship Id="rId13" Type="http://schemas.openxmlformats.org/officeDocument/2006/relationships/image" Target="media/image4.emf"/><Relationship Id="rId12" Type="http://schemas.openxmlformats.org/officeDocument/2006/relationships/oleObject" Target="embeddings/oleObject4.bin"/><Relationship Id="rId11" Type="http://schemas.openxmlformats.org/officeDocument/2006/relationships/image" Target="media/image3.emf"/><Relationship Id="rId10" Type="http://schemas.openxmlformats.org/officeDocument/2006/relationships/oleObject" Target="embeddings/oleObject3.bin"/><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淡泊明志</cp:lastModifiedBy>
  <dcterms:modified xsi:type="dcterms:W3CDTF">2021-11-05T02:04:51Z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2052-11.1.0.9929</vt:lpwstr>
  </property>
  <property fmtid="{D5CDD505-2E9C-101B-9397-08002B2CF9AE}" pid="3" name="ICV">
    <vt:lpwstr>C32B5B8BDE8244779963F265CE44C7A6</vt:lpwstr>
  </property>
</Properties>
</file>