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白衣阁乡</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一</w:t>
      </w:r>
      <w:r>
        <w:rPr>
          <w:rFonts w:hint="eastAsia" w:ascii="黑体" w:hAnsi="黑体" w:eastAsia="黑体" w:cs="黑体"/>
          <w:sz w:val="32"/>
          <w:szCs w:val="32"/>
        </w:rPr>
        <w:t>年</w:t>
      </w:r>
      <w:r>
        <w:rPr>
          <w:rFonts w:hint="eastAsia" w:ascii="黑体" w:hAnsi="黑体" w:eastAsia="黑体" w:cs="黑体"/>
          <w:sz w:val="32"/>
          <w:szCs w:val="32"/>
          <w:highlight w:val="none"/>
          <w:lang w:eastAsia="zh-CN"/>
        </w:rPr>
        <w:t>十一</w:t>
      </w:r>
      <w:r>
        <w:rPr>
          <w:rFonts w:hint="eastAsia" w:ascii="黑体" w:hAnsi="黑体" w:eastAsia="黑体" w:cs="黑体"/>
          <w:sz w:val="32"/>
          <w:szCs w:val="32"/>
          <w:highlight w:val="none"/>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白衣阁乡</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ind w:firstLine="2880" w:firstLineChars="600"/>
        <w:jc w:val="left"/>
        <w:rPr>
          <w:rFonts w:hint="eastAsia" w:ascii="黑体" w:hAnsi="宋体" w:eastAsia="黑体" w:cs="宋体"/>
          <w:kern w:val="0"/>
          <w:sz w:val="28"/>
          <w:szCs w:val="28"/>
          <w:lang w:eastAsia="zh-CN"/>
        </w:rPr>
      </w:pPr>
      <w:r>
        <w:rPr>
          <w:rFonts w:hint="eastAsia" w:ascii="黑体" w:hAnsi="宋体" w:eastAsia="黑体" w:cs="宋体"/>
          <w:kern w:val="0"/>
          <w:sz w:val="48"/>
          <w:szCs w:val="48"/>
          <w:lang w:eastAsia="zh-CN"/>
        </w:rPr>
        <w:t>第一部分</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numPr>
          <w:ilvl w:val="0"/>
          <w:numId w:val="0"/>
        </w:numPr>
        <w:jc w:val="both"/>
        <w:outlineLvl w:val="0"/>
        <w:rPr>
          <w:rFonts w:hint="eastAsia" w:ascii="黑体" w:hAnsi="黑体" w:eastAsia="黑体" w:cs="黑体"/>
          <w:sz w:val="48"/>
          <w:szCs w:val="48"/>
        </w:rPr>
      </w:pPr>
      <w:r>
        <w:rPr>
          <w:rFonts w:hint="eastAsia" w:ascii="黑体" w:hAnsi="黑体" w:eastAsia="黑体" w:cs="黑体"/>
          <w:sz w:val="48"/>
          <w:szCs w:val="48"/>
        </w:rPr>
        <w:t xml:space="preserve"> </w:t>
      </w:r>
    </w:p>
    <w:p>
      <w:pPr>
        <w:widowControl/>
        <w:numPr>
          <w:ilvl w:val="0"/>
          <w:numId w:val="0"/>
        </w:numPr>
        <w:jc w:val="both"/>
        <w:outlineLvl w:val="0"/>
        <w:rPr>
          <w:rFonts w:hint="eastAsia" w:ascii="黑体" w:hAnsi="宋体" w:eastAsia="黑体" w:cs="宋体"/>
          <w:kern w:val="0"/>
          <w:sz w:val="28"/>
          <w:szCs w:val="28"/>
        </w:rPr>
      </w:pPr>
    </w:p>
    <w:p>
      <w:pPr>
        <w:widowControl/>
        <w:numPr>
          <w:ilvl w:val="0"/>
          <w:numId w:val="0"/>
        </w:numPr>
        <w:jc w:val="both"/>
        <w:outlineLvl w:val="0"/>
        <w:rPr>
          <w:rFonts w:hint="eastAsia" w:ascii="黑体" w:hAnsi="宋体" w:eastAsia="黑体" w:cs="宋体"/>
          <w:kern w:val="0"/>
          <w:sz w:val="28"/>
          <w:szCs w:val="28"/>
        </w:rPr>
      </w:pPr>
    </w:p>
    <w:p>
      <w:pPr>
        <w:widowControl/>
        <w:numPr>
          <w:ilvl w:val="0"/>
          <w:numId w:val="0"/>
        </w:numPr>
        <w:jc w:val="both"/>
        <w:outlineLvl w:val="0"/>
        <w:rPr>
          <w:rFonts w:hint="eastAsia" w:ascii="黑体" w:hAnsi="宋体" w:eastAsia="黑体" w:cs="宋体"/>
          <w:kern w:val="0"/>
          <w:sz w:val="28"/>
          <w:szCs w:val="28"/>
        </w:rPr>
      </w:pPr>
    </w:p>
    <w:p>
      <w:pPr>
        <w:widowControl/>
        <w:numPr>
          <w:ilvl w:val="0"/>
          <w:numId w:val="0"/>
        </w:numPr>
        <w:jc w:val="both"/>
        <w:outlineLvl w:val="0"/>
        <w:rPr>
          <w:rFonts w:hint="eastAsia" w:ascii="黑体" w:hAnsi="宋体" w:eastAsia="黑体" w:cs="宋体"/>
          <w:kern w:val="0"/>
          <w:sz w:val="28"/>
          <w:szCs w:val="28"/>
        </w:rPr>
      </w:pPr>
    </w:p>
    <w:p>
      <w:pPr>
        <w:widowControl/>
        <w:numPr>
          <w:ilvl w:val="0"/>
          <w:numId w:val="0"/>
        </w:numPr>
        <w:ind w:firstLine="960" w:firstLineChars="200"/>
        <w:jc w:val="center"/>
        <w:outlineLvl w:val="0"/>
        <w:rPr>
          <w:rFonts w:hint="eastAsia" w:ascii="黑体" w:hAnsi="宋体" w:eastAsia="黑体" w:cs="宋体"/>
          <w:kern w:val="0"/>
          <w:sz w:val="28"/>
          <w:szCs w:val="28"/>
        </w:rPr>
      </w:pPr>
      <w:r>
        <w:rPr>
          <w:rFonts w:hint="eastAsia" w:ascii="黑体" w:hAnsi="黑体" w:eastAsia="黑体" w:cs="黑体"/>
          <w:sz w:val="48"/>
          <w:szCs w:val="48"/>
          <w:lang w:eastAsia="zh-CN"/>
        </w:rPr>
        <w:t>范县白衣阁乡人民政府</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白衣阁乡政府主要</w:t>
      </w:r>
      <w:r>
        <w:rPr>
          <w:rFonts w:hint="eastAsia" w:ascii="黑体" w:hAnsi="黑体" w:eastAsia="黑体" w:cs="黑体"/>
          <w:bCs/>
          <w:sz w:val="32"/>
          <w:szCs w:val="32"/>
        </w:rPr>
        <w:t>职责</w:t>
      </w:r>
    </w:p>
    <w:p>
      <w:pPr>
        <w:widowControl/>
        <w:ind w:firstLine="560" w:firstLineChars="200"/>
        <w:jc w:val="left"/>
        <w:outlineLvl w:val="1"/>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（一）认真贯彻党和国家的方针政策法律和法规，执行上级政的决定和命令，拟定适合本乡实际的具体政策措施并有效地组织实施。</w:t>
      </w:r>
    </w:p>
    <w:p>
      <w:pPr>
        <w:widowControl/>
        <w:ind w:firstLine="560" w:firstLineChars="200"/>
        <w:jc w:val="left"/>
        <w:outlineLvl w:val="1"/>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（二）组织制定并落实国家政策，严格依法行政，发挥积极管理职能，制定并实施本乡基金和社会发展中期规划，搞好经济发展的总体布局和产业结构调整。</w:t>
      </w:r>
    </w:p>
    <w:p>
      <w:pPr>
        <w:widowControl/>
        <w:ind w:firstLine="560" w:firstLineChars="200"/>
        <w:jc w:val="left"/>
        <w:outlineLvl w:val="1"/>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（三）负责组织编制本乡的建设总体规划，并组织实施抓好本乡的建设用地规划管理工作。</w:t>
      </w:r>
    </w:p>
    <w:p>
      <w:pPr>
        <w:widowControl/>
        <w:ind w:firstLine="840" w:firstLineChars="300"/>
        <w:jc w:val="left"/>
        <w:outlineLvl w:val="1"/>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（四）负责本乡的科技文化等事业的发展和计划，负责本乡社会治安稳定。</w:t>
      </w:r>
    </w:p>
    <w:p>
      <w:pPr>
        <w:widowControl/>
        <w:ind w:firstLine="840" w:firstLineChars="300"/>
        <w:jc w:val="left"/>
        <w:outlineLvl w:val="1"/>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五）执行本级人民代表大会的决议和上级国家机关的决定和命令按预算法执行预算，保证预决算一致，本着以收定支，收支平衡的原则，，坚持“量入为出”,有效的压缩开支，保障我乡的人员工资正常发放，使我乡的各项工作正常运行</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白衣阁乡政府</w:t>
      </w:r>
      <w:r>
        <w:rPr>
          <w:rFonts w:hint="eastAsia" w:ascii="黑体" w:hAnsi="黑体" w:eastAsia="黑体" w:cs="黑体"/>
          <w:kern w:val="0"/>
          <w:sz w:val="32"/>
          <w:szCs w:val="32"/>
        </w:rPr>
        <w:t>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白衣阁乡政府</w:t>
      </w:r>
      <w:r>
        <w:rPr>
          <w:rFonts w:hint="eastAsia" w:ascii="仿宋_GB2312" w:hAnsi="仿宋_GB2312" w:eastAsia="仿宋_GB2312" w:cs="仿宋_GB2312"/>
          <w:kern w:val="0"/>
          <w:sz w:val="32"/>
          <w:szCs w:val="32"/>
        </w:rPr>
        <w:t>内设机构</w:t>
      </w:r>
      <w:r>
        <w:rPr>
          <w:rFonts w:hint="eastAsia" w:ascii="仿宋_GB2312" w:hAnsi="仿宋_GB2312" w:eastAsia="仿宋_GB2312" w:cs="仿宋_GB2312"/>
          <w:kern w:val="0"/>
          <w:sz w:val="32"/>
          <w:szCs w:val="32"/>
          <w:lang w:eastAsia="zh-CN"/>
        </w:rPr>
        <w:t>二级预算单位</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本决算为汇总决算，纳入本部门</w:t>
      </w:r>
      <w:r>
        <w:rPr>
          <w:rFonts w:hint="eastAsia" w:ascii="仿宋_GB2312" w:hAnsi="仿宋_GB2312" w:eastAsia="仿宋_GB2312" w:cs="仿宋_GB2312"/>
          <w:kern w:val="0"/>
          <w:sz w:val="32"/>
          <w:szCs w:val="32"/>
          <w:lang w:val="en-US" w:eastAsia="zh-CN"/>
        </w:rPr>
        <w:t>2020年度部门决算编报范围内的二级预算单位</w:t>
      </w:r>
      <w:r>
        <w:rPr>
          <w:rFonts w:hint="eastAsia" w:ascii="仿宋_GB2312" w:hAnsi="仿宋_GB2312" w:eastAsia="仿宋_GB2312" w:cs="仿宋_GB2312"/>
          <w:kern w:val="0"/>
          <w:sz w:val="32"/>
          <w:szCs w:val="32"/>
        </w:rPr>
        <w:t>包括</w:t>
      </w:r>
      <w:r>
        <w:rPr>
          <w:rFonts w:hint="eastAsia" w:ascii="仿宋_GB2312" w:hAnsi="仿宋_GB2312" w:eastAsia="仿宋_GB2312" w:cs="仿宋_GB2312"/>
          <w:kern w:val="0"/>
          <w:sz w:val="32"/>
          <w:szCs w:val="32"/>
          <w:lang w:eastAsia="zh-CN"/>
        </w:rPr>
        <w:t>如下</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河南省范县白衣阁乡人民政府</w:t>
      </w:r>
      <w:r>
        <w:rPr>
          <w:rFonts w:hint="eastAsia" w:ascii="仿宋_GB2312" w:hAnsi="仿宋_GB2312" w:eastAsia="仿宋_GB2312" w:cs="仿宋_GB2312"/>
          <w:kern w:val="0"/>
          <w:sz w:val="32"/>
          <w:szCs w:val="32"/>
        </w:rPr>
        <w:t>本级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范县白衣阁乡计划生育</w:t>
      </w:r>
      <w:r>
        <w:rPr>
          <w:rFonts w:hint="eastAsia" w:ascii="仿宋_GB2312" w:hAnsi="仿宋_GB2312" w:eastAsia="仿宋_GB2312" w:cs="仿宋_GB2312"/>
          <w:kern w:val="0"/>
          <w:sz w:val="32"/>
          <w:szCs w:val="32"/>
        </w:rPr>
        <w:t>服务中心</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范县白衣阁乡农业服务中心</w:t>
      </w:r>
    </w:p>
    <w:p>
      <w:pPr>
        <w:widowControl/>
        <w:jc w:val="left"/>
        <w:rPr>
          <w:rFonts w:hint="eastAsia" w:ascii="黑体" w:hAnsi="宋体" w:eastAsia="黑体" w:cs="宋体"/>
          <w:kern w:val="0"/>
          <w:sz w:val="28"/>
          <w:szCs w:val="28"/>
        </w:rPr>
      </w:pP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范县白衣阁乡村镇建设发展中心</w:t>
      </w:r>
    </w:p>
    <w:p>
      <w:pPr>
        <w:widowControl/>
        <w:ind w:firstLine="640" w:firstLineChars="200"/>
        <w:jc w:val="left"/>
        <w:rPr>
          <w:rFonts w:hint="eastAsia" w:ascii="黑体" w:hAnsi="宋体" w:eastAsia="黑体" w:cs="宋体"/>
          <w:kern w:val="0"/>
          <w:sz w:val="28"/>
          <w:szCs w:val="28"/>
          <w:lang w:val="en-US"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范县白衣阁乡文化服务中心</w:t>
      </w:r>
    </w:p>
    <w:p>
      <w:pPr>
        <w:widowControl/>
        <w:jc w:val="left"/>
        <w:rPr>
          <w:rFonts w:hint="eastAsia" w:ascii="黑体" w:hAnsi="宋体" w:eastAsia="黑体" w:cs="宋体"/>
          <w:kern w:val="0"/>
          <w:sz w:val="28"/>
          <w:szCs w:val="28"/>
          <w:lang w:val="en-US" w:eastAsia="zh-CN"/>
        </w:rPr>
      </w:pPr>
    </w:p>
    <w:p>
      <w:pPr>
        <w:widowControl/>
        <w:jc w:val="left"/>
        <w:rPr>
          <w:rFonts w:hint="eastAsia" w:ascii="黑体" w:hAnsi="宋体" w:eastAsia="黑体" w:cs="宋体"/>
          <w:kern w:val="0"/>
          <w:sz w:val="28"/>
          <w:szCs w:val="28"/>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4"/>
        <w:tblW w:w="13459" w:type="dxa"/>
        <w:tblInd w:w="0" w:type="dxa"/>
        <w:shd w:val="clear" w:color="auto" w:fill="auto"/>
        <w:tblLayout w:type="fixed"/>
        <w:tblCellMar>
          <w:top w:w="0" w:type="dxa"/>
          <w:left w:w="0" w:type="dxa"/>
          <w:bottom w:w="0" w:type="dxa"/>
          <w:right w:w="0" w:type="dxa"/>
        </w:tblCellMar>
      </w:tblPr>
      <w:tblGrid>
        <w:gridCol w:w="4662"/>
        <w:gridCol w:w="664"/>
        <w:gridCol w:w="2433"/>
        <w:gridCol w:w="2278"/>
        <w:gridCol w:w="272"/>
        <w:gridCol w:w="392"/>
        <w:gridCol w:w="283"/>
        <w:gridCol w:w="2460"/>
        <w:gridCol w:w="15"/>
      </w:tblGrid>
      <w:tr>
        <w:tblPrEx>
          <w:tblCellMar>
            <w:top w:w="0" w:type="dxa"/>
            <w:left w:w="0" w:type="dxa"/>
            <w:bottom w:w="0" w:type="dxa"/>
            <w:right w:w="0" w:type="dxa"/>
          </w:tblCellMar>
        </w:tblPrEx>
        <w:trPr>
          <w:gridAfter w:val="1"/>
          <w:wAfter w:w="15" w:type="dxa"/>
          <w:trHeight w:val="375" w:hRule="atLeast"/>
        </w:trPr>
        <w:tc>
          <w:tcPr>
            <w:tcW w:w="13444" w:type="dxa"/>
            <w:gridSpan w:val="8"/>
            <w:vMerge w:val="restart"/>
            <w:tcBorders>
              <w:top w:val="nil"/>
              <w:left w:val="nil"/>
              <w:bottom w:val="nil"/>
              <w:right w:val="single" w:color="80808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收入支出决算总表</w:t>
            </w:r>
          </w:p>
        </w:tc>
      </w:tr>
      <w:tr>
        <w:tblPrEx>
          <w:shd w:val="clear" w:color="auto" w:fill="auto"/>
          <w:tblCellMar>
            <w:top w:w="0" w:type="dxa"/>
            <w:left w:w="0" w:type="dxa"/>
            <w:bottom w:w="0" w:type="dxa"/>
            <w:right w:w="0" w:type="dxa"/>
          </w:tblCellMar>
        </w:tblPrEx>
        <w:trPr>
          <w:gridAfter w:val="1"/>
          <w:wAfter w:w="15" w:type="dxa"/>
          <w:trHeight w:val="312" w:hRule="atLeast"/>
        </w:trPr>
        <w:tc>
          <w:tcPr>
            <w:tcW w:w="13444" w:type="dxa"/>
            <w:gridSpan w:val="8"/>
            <w:vMerge w:val="continue"/>
            <w:tcBorders>
              <w:top w:val="nil"/>
              <w:left w:val="nil"/>
              <w:bottom w:val="nil"/>
              <w:right w:val="single" w:color="80808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黑体" w:hAnsi="宋体" w:eastAsia="黑体" w:cs="黑体"/>
                <w:i w:val="0"/>
                <w:color w:val="000000"/>
                <w:sz w:val="36"/>
                <w:szCs w:val="36"/>
                <w:u w:val="none"/>
              </w:rPr>
            </w:pP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66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243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227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664"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2743" w:type="dxa"/>
            <w:gridSpan w:val="2"/>
            <w:tcBorders>
              <w:top w:val="nil"/>
              <w:left w:val="nil"/>
              <w:bottom w:val="nil"/>
              <w:right w:val="single" w:color="80808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部门：范县白衣阁乡</w:t>
            </w:r>
          </w:p>
        </w:tc>
        <w:tc>
          <w:tcPr>
            <w:tcW w:w="664"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2433"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2278"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664" w:type="dxa"/>
            <w:gridSpan w:val="2"/>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w:t>
            </w:r>
          </w:p>
        </w:tc>
        <w:tc>
          <w:tcPr>
            <w:tcW w:w="2743" w:type="dxa"/>
            <w:gridSpan w:val="2"/>
            <w:tcBorders>
              <w:top w:val="nil"/>
              <w:left w:val="nil"/>
              <w:bottom w:val="single" w:color="808080" w:sz="4" w:space="0"/>
              <w:right w:val="single" w:color="80808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gridAfter w:val="1"/>
          <w:wAfter w:w="15" w:type="dxa"/>
          <w:trHeight w:val="300" w:hRule="atLeast"/>
        </w:trPr>
        <w:tc>
          <w:tcPr>
            <w:tcW w:w="7759" w:type="dxa"/>
            <w:gridSpan w:val="3"/>
            <w:tcBorders>
              <w:top w:val="single" w:color="80808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收入</w:t>
            </w:r>
          </w:p>
        </w:tc>
        <w:tc>
          <w:tcPr>
            <w:tcW w:w="5685" w:type="dxa"/>
            <w:gridSpan w:val="5"/>
            <w:tcBorders>
              <w:top w:val="single" w:color="80808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行次</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金额</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行次</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金额</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栏次</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栏次</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一、一般公共预算财政拨款收入</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000000"/>
                <w:kern w:val="0"/>
                <w:sz w:val="22"/>
                <w:szCs w:val="22"/>
                <w:u w:val="none"/>
                <w:lang w:val="en-US" w:eastAsia="zh-CN" w:bidi="ar"/>
              </w:rPr>
              <w:t>3,584.00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一、一般公共服务支出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18</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000000"/>
                <w:kern w:val="0"/>
                <w:sz w:val="22"/>
                <w:szCs w:val="22"/>
                <w:u w:val="none"/>
                <w:lang w:val="en-US" w:eastAsia="zh-CN" w:bidi="ar"/>
              </w:rPr>
              <w:t>1,143.00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二、政府性基金预算财政拨款收入</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3,050.00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二、外交支出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三、上级补助收入</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三、国防支出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四、事业收入</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四、公共安全支出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119.00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五、经营收入</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五、教育支出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六、附属单位上缴收入</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六、科学技术支出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120.00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七、其他收入</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七、文化旅游体育与传媒支出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101.00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八、社会保障和就业支出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88.00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auto"/>
                <w:sz w:val="20"/>
                <w:szCs w:val="20"/>
                <w:u w:val="none"/>
              </w:rPr>
            </w:pP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九、卫生健康支出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104.00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auto"/>
                <w:sz w:val="20"/>
                <w:szCs w:val="20"/>
                <w:u w:val="none"/>
              </w:rPr>
            </w:pP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十、节能环保支出</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40.00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auto"/>
                <w:sz w:val="20"/>
                <w:szCs w:val="20"/>
                <w:u w:val="none"/>
              </w:rPr>
            </w:pP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4919.00　</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auto"/>
                <w:sz w:val="20"/>
                <w:szCs w:val="20"/>
                <w:u w:val="none"/>
              </w:rPr>
            </w:pP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本年收入合计</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6,634.00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本年支出合计</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6,634.00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用事业基金弥补收支差额</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结余分配</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年初结转和结余</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0.00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年末结转和结余</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auto"/>
                <w:sz w:val="20"/>
                <w:szCs w:val="20"/>
                <w:u w:val="none"/>
              </w:rPr>
            </w:pP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auto"/>
                <w:sz w:val="20"/>
                <w:szCs w:val="20"/>
                <w:u w:val="none"/>
              </w:rPr>
            </w:pPr>
          </w:p>
        </w:tc>
      </w:tr>
      <w:tr>
        <w:tblPrEx>
          <w:shd w:val="clear" w:color="auto" w:fill="auto"/>
          <w:tblCellMar>
            <w:top w:w="0" w:type="dxa"/>
            <w:left w:w="0" w:type="dxa"/>
            <w:bottom w:w="0" w:type="dxa"/>
            <w:right w:w="0" w:type="dxa"/>
          </w:tblCellMar>
        </w:tblPrEx>
        <w:trPr>
          <w:gridAfter w:val="1"/>
          <w:wAfter w:w="15" w:type="dxa"/>
          <w:trHeight w:val="300" w:hRule="atLeast"/>
        </w:trPr>
        <w:tc>
          <w:tcPr>
            <w:tcW w:w="4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总计</w:t>
            </w:r>
          </w:p>
        </w:tc>
        <w:tc>
          <w:tcPr>
            <w:tcW w:w="6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24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6,634.00</w:t>
            </w:r>
          </w:p>
        </w:tc>
        <w:tc>
          <w:tcPr>
            <w:tcW w:w="25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总计</w:t>
            </w:r>
          </w:p>
        </w:tc>
        <w:tc>
          <w:tcPr>
            <w:tcW w:w="67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24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000000"/>
                <w:kern w:val="0"/>
                <w:sz w:val="22"/>
                <w:szCs w:val="22"/>
                <w:u w:val="none"/>
                <w:lang w:val="en-US" w:eastAsia="zh-CN" w:bidi="ar"/>
              </w:rPr>
              <w:t>6,634.00</w:t>
            </w:r>
          </w:p>
        </w:tc>
      </w:tr>
      <w:tr>
        <w:tblPrEx>
          <w:shd w:val="clear" w:color="auto" w:fill="auto"/>
          <w:tblCellMar>
            <w:top w:w="0" w:type="dxa"/>
            <w:left w:w="0" w:type="dxa"/>
            <w:bottom w:w="0" w:type="dxa"/>
            <w:right w:w="0" w:type="dxa"/>
          </w:tblCellMar>
        </w:tblPrEx>
        <w:trPr>
          <w:trHeight w:val="300" w:hRule="atLeast"/>
        </w:trPr>
        <w:tc>
          <w:tcPr>
            <w:tcW w:w="13459"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845" w:type="dxa"/>
        <w:tblInd w:w="0" w:type="dxa"/>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5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6,634.00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6,634.00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1,143.00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1,143.00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人大事务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2010199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其他人大事务支出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政协事务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2010202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888.00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888.00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730.90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730.90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信访事务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137.10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137.10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财政事务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2010601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20113</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商贸事务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2011308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招商引资</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组织事务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统战事务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2013404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宗教事务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公共安全支出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华文中宋" w:hAnsi="华文中宋" w:eastAsia="华文中宋" w:cs="华文中宋"/>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20402</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公安</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2040299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其他公安支出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科学技术支出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20604</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技术研究与开发</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2060499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文化旅游体育与传媒支出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文化和旅游</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2070101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社会保障和就业支出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行政事业单位养老支出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44.00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44.00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抚恤</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死亡抚恤</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20821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特困人员救助供养</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2082102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卫生健康支出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104.00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104.00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公共卫生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2100408</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21007</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计划生育事务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2100716</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计划生育机构</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21011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行政事业单位医疗</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2101101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节能环保支出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污染防治</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2110399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3,585.00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3,585.00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城乡社区管理事务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城乡社区公共设施</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2120303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城乡社区环境卫生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2120501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2,207.00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2,207.00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城市建设支出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217.00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217.00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626.00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626.00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农林水支出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1,279.00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1,279.00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农业农村</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林业和草原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森林资源培育</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2130221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产业化管理</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水利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2130316</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农村水利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扶贫</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2130599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其他扶贫支出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21307</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农村综合改革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553.00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553.00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2130705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508.00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508.00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2130706</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对村集体经济组织的补助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住房保障支出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22102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住房改革支出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2210201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住房公积金</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灾害防治及应急管理支出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22401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应急管理事务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2240106</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安全监管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774"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2559" w:type="dxa"/>
            <w:gridSpan w:val="4"/>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eastAsiaTheme="minorEastAsia"/>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ab/>
            </w:r>
            <w:r>
              <w:rPr>
                <w:rFonts w:hint="eastAsia" w:ascii="宋体" w:hAnsi="宋体" w:eastAsia="宋体" w:cs="宋体"/>
                <w:i w:val="0"/>
                <w:color w:val="000000"/>
                <w:kern w:val="0"/>
                <w:sz w:val="20"/>
                <w:szCs w:val="20"/>
                <w:u w:val="none"/>
                <w:lang w:val="en-US" w:eastAsia="zh-CN" w:bidi="ar"/>
              </w:rPr>
              <w:t>范县白衣阁乡</w:t>
            </w:r>
          </w:p>
        </w:tc>
        <w:tc>
          <w:tcPr>
            <w:tcW w:w="1774"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6,634.00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3,116.90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3,517.10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1,000.90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142.10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人大事务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2010199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其他人大事务支出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政协事务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2010202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750.90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137.10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730.90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730.90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信访事务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137.10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137.10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财政事务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2010601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20113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商贸事务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2011308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招商引资</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组织事务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统战事务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2013404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宗教事务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公共安全支出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公安</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2040299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其他公安支出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科学技术支出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20604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技术研究与开发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2060499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文化旅游体育与传媒支出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文化和旅游</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行政事业单位养老支出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44.00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44.00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抚恤</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死亡抚恤</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20821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特困人员救助供养</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2082102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卫生健康支出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104.00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104.00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公共卫生</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2100408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计划生育事务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2100716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计划生育机构</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行政事业单位医疗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行政单位医疗</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节能环保支出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污染防治</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2110399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3,585.00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3,165.00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城乡社区管理事务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城乡社区公共设施</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2120303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城乡社区环境卫生</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2,207.00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2,207.00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城市建设支出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217.00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626.00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626.00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农林水支出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1,279.00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1,069.00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农业农村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152.00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林业和草原</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森林资源培育</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2130221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产业化管理</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21303</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水利</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2130316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农村水利</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扶贫</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2130599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其他扶贫支出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21307</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农村综合改革</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553.00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2130705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508.00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2130706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对村集体经济组织的补助</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住房保障支出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22102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住房改革支出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2210201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住房公积金</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224</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灾害防治及应急管理支出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22401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应急管理事务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2240106</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安全监管</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72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eastAsia="宋体" w:cs="宋体"/>
                <w:i w:val="0"/>
                <w:color w:val="000000"/>
                <w:kern w:val="0"/>
                <w:sz w:val="20"/>
                <w:szCs w:val="20"/>
                <w:u w:val="none"/>
                <w:lang w:val="en-US" w:eastAsia="zh-CN" w:bidi="ar"/>
              </w:rPr>
              <w:t>范县白衣阁乡</w:t>
            </w:r>
          </w:p>
        </w:tc>
        <w:tc>
          <w:tcPr>
            <w:tcW w:w="72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340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597"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708"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343"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2016"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3,584.00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1,143.00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708"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rPr>
              <w:t>5252.00</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3,050.00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6,634.00</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6,634.00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b/>
                <w:color w:val="000000"/>
                <w:sz w:val="20"/>
                <w:szCs w:val="20"/>
              </w:rPr>
            </w:pPr>
            <w:r>
              <w:rPr>
                <w:rFonts w:hint="eastAsia" w:ascii="宋体" w:hAnsi="宋体" w:eastAsia="宋体" w:cs="宋体"/>
                <w:i w:val="0"/>
                <w:color w:val="000000"/>
                <w:kern w:val="0"/>
                <w:sz w:val="22"/>
                <w:szCs w:val="22"/>
                <w:u w:val="none"/>
                <w:lang w:val="en-US" w:eastAsia="zh-CN" w:bidi="ar"/>
              </w:rPr>
              <w:t>3,050.00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 xml:space="preserve">             </w:t>
            </w:r>
            <w:r>
              <w:rPr>
                <w:rFonts w:hint="eastAsia" w:ascii="宋体" w:hAnsi="宋体" w:cs="宋体"/>
                <w:color w:val="000000"/>
                <w:kern w:val="0"/>
                <w:sz w:val="20"/>
                <w:szCs w:val="20"/>
                <w:lang w:bidi="ar"/>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708"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w:t>
            </w:r>
            <w:r>
              <w:rPr>
                <w:rFonts w:hint="eastAsia" w:ascii="宋体" w:hAnsi="宋体" w:cs="宋体"/>
                <w:color w:val="000000"/>
                <w:kern w:val="0"/>
                <w:sz w:val="20"/>
                <w:szCs w:val="20"/>
                <w:lang w:val="en-US" w:eastAsia="zh-CN" w:bidi="ar"/>
              </w:rPr>
              <w:t xml:space="preserve">     </w:t>
            </w:r>
            <w:r>
              <w:rPr>
                <w:rFonts w:hint="eastAsia" w:ascii="宋体" w:hAnsi="宋体" w:cs="宋体"/>
                <w:color w:val="000000"/>
                <w:kern w:val="0"/>
                <w:sz w:val="20"/>
                <w:szCs w:val="20"/>
                <w:lang w:bidi="ar"/>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0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0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c>
          <w:tcPr>
            <w:tcW w:w="1680" w:type="dxa"/>
            <w:tcBorders>
              <w:top w:val="single" w:color="000000" w:sz="4" w:space="0"/>
              <w:left w:val="nil"/>
              <w:bottom w:val="nil"/>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6,634.00</w:t>
            </w:r>
          </w:p>
        </w:tc>
        <w:tc>
          <w:tcPr>
            <w:tcW w:w="3400"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708" w:type="dxa"/>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6,634.00</w:t>
            </w:r>
          </w:p>
        </w:tc>
        <w:tc>
          <w:tcPr>
            <w:tcW w:w="1680"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b/>
                <w:color w:val="000000"/>
                <w:sz w:val="20"/>
                <w:szCs w:val="20"/>
              </w:rPr>
            </w:pPr>
            <w:r>
              <w:rPr>
                <w:rFonts w:hint="eastAsia" w:ascii="宋体" w:hAnsi="宋体" w:eastAsia="宋体" w:cs="宋体"/>
                <w:i w:val="0"/>
                <w:color w:val="000000"/>
                <w:kern w:val="0"/>
                <w:sz w:val="22"/>
                <w:szCs w:val="22"/>
                <w:u w:val="none"/>
                <w:lang w:val="en-US" w:eastAsia="zh-CN" w:bidi="ar"/>
              </w:rPr>
              <w:t>3,050.00</w:t>
            </w: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7"/>
                <w:rFonts w:hint="default"/>
                <w:lang w:bidi="ar"/>
              </w:rPr>
              <w:t>5表</w:t>
            </w:r>
          </w:p>
        </w:tc>
      </w:tr>
      <w:tr>
        <w:tblPrEx>
          <w:tblCellMar>
            <w:top w:w="0" w:type="dxa"/>
            <w:left w:w="0" w:type="dxa"/>
            <w:bottom w:w="0" w:type="dxa"/>
            <w:right w:w="0" w:type="dxa"/>
          </w:tblCellMar>
        </w:tblPrEx>
        <w:trPr>
          <w:trHeight w:val="300" w:hRule="atLeast"/>
        </w:trPr>
        <w:tc>
          <w:tcPr>
            <w:tcW w:w="3639"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eastAsia="宋体" w:cs="宋体"/>
                <w:i w:val="0"/>
                <w:color w:val="000000"/>
                <w:kern w:val="0"/>
                <w:sz w:val="20"/>
                <w:szCs w:val="20"/>
                <w:u w:val="none"/>
                <w:lang w:val="en-US" w:eastAsia="zh-CN" w:bidi="ar"/>
              </w:rPr>
              <w:t>范县白衣阁乡</w:t>
            </w:r>
          </w:p>
        </w:tc>
        <w:tc>
          <w:tcPr>
            <w:tcW w:w="344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3451"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8"/>
                <w:rFonts w:hint="default"/>
                <w:sz w:val="20"/>
                <w:szCs w:val="20"/>
                <w:lang w:bidi="ar"/>
              </w:rPr>
              <w:t xml:space="preserve">   </w:t>
            </w:r>
            <w:r>
              <w:rPr>
                <w:rStyle w:val="9"/>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3,584.00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3,116.90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467.10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一般公共服务支出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1,143.00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1,000.90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142.10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人大事务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2010199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其他人大事务支出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政协事务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2010202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888.00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750.90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137.10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730.90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730.90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信访事务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2010399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137.10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137.10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财政事务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2010601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20113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商贸事务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2011308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招商引资</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组织事务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20134</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统战事务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2013404</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宗教事务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公共安全支出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公安</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2040299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其他公安支出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科学技术支出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20604</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技术研究与开发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2060499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其他技术研究与开发支出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文化旅游体育与传媒支出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文化和旅游</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2070101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101.00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88.00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行政事业单位养老支出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44.00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44.00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死亡抚恤</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2080803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20821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特困人员救助供养</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2082102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卫生健康支出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104.00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104.00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21004</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公共卫生</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2100408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21007</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计划生育事务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2100716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计划生育机构</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82.00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21011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行政事业单位医疗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2101101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行政单位医疗</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节能环保支出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污染防治</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2110399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其他污染防治支出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535.00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420.00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城乡社区管理事务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2120199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城乡社区公共设施</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2120303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城乡社区环境卫生</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2120501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270.00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农林水支出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1,279.00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1,069.00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农业农村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152.00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152.00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2130199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63.00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63.00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林业和草原</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114.00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森林资源培育</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2130221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产业化管理</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29.00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21303</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水利</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2130316</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农村水利</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21305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扶贫</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380.00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2130599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其他扶贫支出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380.00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农村综合改革</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553.00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508.00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2130705</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508.00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508.00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2130706</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对村集体经济组织的补助</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灾害防治及应急管理支出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应急管理事务</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2240106</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安全监管</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4013" w:type="dxa"/>
        <w:tblInd w:w="93" w:type="dxa"/>
        <w:shd w:val="clear" w:color="auto" w:fill="auto"/>
        <w:tblLayout w:type="fixed"/>
        <w:tblCellMar>
          <w:top w:w="0" w:type="dxa"/>
          <w:left w:w="108" w:type="dxa"/>
          <w:bottom w:w="0" w:type="dxa"/>
          <w:right w:w="108" w:type="dxa"/>
        </w:tblCellMar>
      </w:tblPr>
      <w:tblGrid>
        <w:gridCol w:w="860"/>
        <w:gridCol w:w="3030"/>
        <w:gridCol w:w="955"/>
        <w:gridCol w:w="718"/>
        <w:gridCol w:w="2030"/>
        <w:gridCol w:w="716"/>
        <w:gridCol w:w="122"/>
        <w:gridCol w:w="718"/>
        <w:gridCol w:w="3830"/>
        <w:gridCol w:w="1034"/>
      </w:tblGrid>
      <w:tr>
        <w:tblPrEx>
          <w:tblCellMar>
            <w:top w:w="0" w:type="dxa"/>
            <w:left w:w="108" w:type="dxa"/>
            <w:bottom w:w="0" w:type="dxa"/>
            <w:right w:w="108" w:type="dxa"/>
          </w:tblCellMar>
        </w:tblPrEx>
        <w:trPr>
          <w:trHeight w:val="450" w:hRule="atLeast"/>
        </w:trPr>
        <w:tc>
          <w:tcPr>
            <w:tcW w:w="860"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2"/>
                <w:szCs w:val="22"/>
                <w:lang w:val="en-US"/>
              </w:rPr>
            </w:pPr>
            <w:r>
              <w:rPr>
                <w:rFonts w:hint="eastAsia" w:ascii="宋体" w:hAnsi="宋体" w:eastAsia="宋体" w:cs="Arial"/>
                <w:kern w:val="0"/>
                <w:sz w:val="22"/>
                <w:szCs w:val="22"/>
                <w:lang w:val="en-US" w:eastAsia="zh-CN" w:bidi="ar"/>
              </w:rPr>
              <w:t>　</w:t>
            </w:r>
          </w:p>
        </w:tc>
        <w:tc>
          <w:tcPr>
            <w:tcW w:w="13153" w:type="dxa"/>
            <w:gridSpan w:val="9"/>
            <w:shd w:val="clear" w:color="auto" w:fill="FFFFFF"/>
            <w:vAlign w:val="center"/>
          </w:tcPr>
          <w:p>
            <w:pPr>
              <w:keepNext w:val="0"/>
              <w:keepLines w:val="0"/>
              <w:widowControl/>
              <w:suppressLineNumbers w:val="0"/>
              <w:spacing w:before="0" w:beforeAutospacing="0" w:after="0" w:afterAutospacing="0"/>
              <w:ind w:left="0" w:right="0"/>
              <w:jc w:val="center"/>
              <w:rPr>
                <w:rFonts w:hint="eastAsia" w:ascii="黑体" w:hAnsi="宋体" w:eastAsia="黑体" w:cs="Arial"/>
                <w:color w:val="000000"/>
                <w:kern w:val="0"/>
                <w:sz w:val="32"/>
                <w:szCs w:val="32"/>
                <w:lang w:val="en-US"/>
              </w:rPr>
            </w:pPr>
            <w:r>
              <w:rPr>
                <w:rFonts w:hint="eastAsia" w:ascii="黑体" w:hAnsi="宋体" w:eastAsia="黑体" w:cs="Arial"/>
                <w:color w:val="000000"/>
                <w:kern w:val="0"/>
                <w:sz w:val="32"/>
                <w:szCs w:val="32"/>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300" w:hRule="atLeast"/>
        </w:trPr>
        <w:tc>
          <w:tcPr>
            <w:tcW w:w="860"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3030"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955"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718"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2030"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716"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840" w:type="dxa"/>
            <w:gridSpan w:val="2"/>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3830" w:type="dxa"/>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1034" w:type="dxa"/>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18"/>
                <w:szCs w:val="18"/>
                <w:lang w:val="en-US"/>
              </w:rPr>
            </w:pPr>
            <w:r>
              <w:rPr>
                <w:rFonts w:hint="eastAsia" w:ascii="宋体" w:hAnsi="宋体" w:eastAsia="宋体" w:cs="Arial"/>
                <w:color w:val="000000"/>
                <w:kern w:val="0"/>
                <w:sz w:val="18"/>
                <w:szCs w:val="18"/>
                <w:lang w:val="en-US" w:eastAsia="zh-CN" w:bidi="ar"/>
              </w:rPr>
              <w:t>公开06表</w:t>
            </w:r>
          </w:p>
        </w:tc>
      </w:tr>
      <w:tr>
        <w:tblPrEx>
          <w:shd w:val="clear" w:color="auto" w:fill="auto"/>
          <w:tblCellMar>
            <w:top w:w="0" w:type="dxa"/>
            <w:left w:w="108" w:type="dxa"/>
            <w:bottom w:w="0" w:type="dxa"/>
            <w:right w:w="108" w:type="dxa"/>
          </w:tblCellMar>
        </w:tblPrEx>
        <w:trPr>
          <w:trHeight w:val="270" w:hRule="atLeast"/>
        </w:trPr>
        <w:tc>
          <w:tcPr>
            <w:tcW w:w="860"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部门：</w:t>
            </w:r>
          </w:p>
        </w:tc>
        <w:tc>
          <w:tcPr>
            <w:tcW w:w="3030"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r>
              <w:rPr>
                <w:rFonts w:hint="eastAsia" w:ascii="宋体" w:hAnsi="宋体" w:eastAsia="宋体" w:cs="宋体"/>
                <w:i w:val="0"/>
                <w:color w:val="000000"/>
                <w:kern w:val="0"/>
                <w:sz w:val="20"/>
                <w:szCs w:val="20"/>
                <w:u w:val="none"/>
                <w:lang w:val="en-US" w:eastAsia="zh-CN" w:bidi="ar"/>
              </w:rPr>
              <w:t>范县白衣阁乡</w:t>
            </w:r>
          </w:p>
        </w:tc>
        <w:tc>
          <w:tcPr>
            <w:tcW w:w="955"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718"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2030"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w:t>
            </w:r>
          </w:p>
        </w:tc>
        <w:tc>
          <w:tcPr>
            <w:tcW w:w="716"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840" w:type="dxa"/>
            <w:gridSpan w:val="2"/>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3830"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18"/>
                <w:szCs w:val="18"/>
                <w:lang w:val="en-US"/>
              </w:rPr>
            </w:pPr>
            <w:r>
              <w:rPr>
                <w:rFonts w:hint="eastAsia" w:ascii="宋体" w:hAnsi="宋体" w:eastAsia="宋体" w:cs="Arial"/>
                <w:kern w:val="0"/>
                <w:sz w:val="18"/>
                <w:szCs w:val="18"/>
                <w:lang w:val="en-US" w:eastAsia="zh-CN" w:bidi="ar"/>
              </w:rPr>
              <w:t>　</w:t>
            </w:r>
          </w:p>
        </w:tc>
        <w:tc>
          <w:tcPr>
            <w:tcW w:w="1034" w:type="dxa"/>
            <w:tcBorders>
              <w:top w:val="nil"/>
              <w:left w:val="nil"/>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18"/>
                <w:szCs w:val="18"/>
                <w:lang w:val="en-US"/>
              </w:rPr>
            </w:pPr>
            <w:r>
              <w:rPr>
                <w:rFonts w:hint="eastAsia" w:ascii="宋体" w:hAnsi="宋体" w:eastAsia="宋体" w:cs="Arial"/>
                <w:color w:val="000000"/>
                <w:kern w:val="0"/>
                <w:sz w:val="18"/>
                <w:szCs w:val="18"/>
                <w:lang w:val="en-US" w:eastAsia="zh-CN" w:bidi="ar"/>
              </w:rPr>
              <w:t>单位：万元</w:t>
            </w:r>
          </w:p>
        </w:tc>
      </w:tr>
      <w:tr>
        <w:tblPrEx>
          <w:shd w:val="clear" w:color="auto" w:fill="auto"/>
          <w:tblCellMar>
            <w:top w:w="0" w:type="dxa"/>
            <w:left w:w="108" w:type="dxa"/>
            <w:bottom w:w="0" w:type="dxa"/>
            <w:right w:w="108" w:type="dxa"/>
          </w:tblCellMar>
        </w:tblPrEx>
        <w:trPr>
          <w:trHeight w:val="300" w:hRule="atLeast"/>
        </w:trPr>
        <w:tc>
          <w:tcPr>
            <w:tcW w:w="484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人员经费</w:t>
            </w:r>
          </w:p>
        </w:tc>
        <w:tc>
          <w:tcPr>
            <w:tcW w:w="9168"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公用经费</w:t>
            </w:r>
          </w:p>
        </w:tc>
      </w:tr>
      <w:tr>
        <w:tblPrEx>
          <w:shd w:val="clear" w:color="auto" w:fill="auto"/>
          <w:tblCellMar>
            <w:top w:w="0" w:type="dxa"/>
            <w:left w:w="108" w:type="dxa"/>
            <w:bottom w:w="0" w:type="dxa"/>
            <w:right w:w="108" w:type="dxa"/>
          </w:tblCellMar>
        </w:tblPrEx>
        <w:trPr>
          <w:trHeight w:val="312" w:hRule="atLeast"/>
        </w:trPr>
        <w:tc>
          <w:tcPr>
            <w:tcW w:w="86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科目编码</w:t>
            </w:r>
          </w:p>
        </w:tc>
        <w:tc>
          <w:tcPr>
            <w:tcW w:w="30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科目名称</w:t>
            </w:r>
          </w:p>
        </w:tc>
        <w:tc>
          <w:tcPr>
            <w:tcW w:w="9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决算数</w:t>
            </w: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科目编码</w:t>
            </w:r>
          </w:p>
        </w:tc>
        <w:tc>
          <w:tcPr>
            <w:tcW w:w="20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科目名称</w:t>
            </w:r>
          </w:p>
        </w:tc>
        <w:tc>
          <w:tcPr>
            <w:tcW w:w="838"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决算数</w:t>
            </w: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科目编码</w:t>
            </w:r>
          </w:p>
        </w:tc>
        <w:tc>
          <w:tcPr>
            <w:tcW w:w="38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科目名称</w:t>
            </w:r>
          </w:p>
        </w:tc>
        <w:tc>
          <w:tcPr>
            <w:tcW w:w="103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决算数</w:t>
            </w:r>
          </w:p>
        </w:tc>
      </w:tr>
      <w:tr>
        <w:tblPrEx>
          <w:shd w:val="clear" w:color="auto" w:fill="auto"/>
          <w:tblCellMar>
            <w:top w:w="0" w:type="dxa"/>
            <w:left w:w="108" w:type="dxa"/>
            <w:bottom w:w="0" w:type="dxa"/>
            <w:right w:w="108" w:type="dxa"/>
          </w:tblCellMar>
        </w:tblPrEx>
        <w:trPr>
          <w:trHeight w:val="312" w:hRule="atLeast"/>
        </w:trPr>
        <w:tc>
          <w:tcPr>
            <w:tcW w:w="86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0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5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1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0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38" w:type="dxa"/>
            <w:gridSpan w:val="2"/>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1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8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3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工资福利支出</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1,163.09</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商品和服务支出</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1,842.13</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307</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债务利息及费用支出</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30101</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基本工资</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712.99</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30201</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办公费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513.47</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30701</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国内债务付息</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30102</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津贴补贴</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99.90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30202</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印刷费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103.47</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30702</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国外债务付息</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30103</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奖金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25.00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30203</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咨询费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0.30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资本性支出</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67.68</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30106</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伙食补助费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0.70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30204</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手续费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31001</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房屋建筑物购建</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30107</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绩效工资</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105.50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30205</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水费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0.90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31002</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办公设备购置</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39.73</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30108</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机关事业单位基本养老保险缴费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44.00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30206</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电费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9.20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31003</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专用设备购置</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27.95</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30109</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职业年金缴费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30207</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邮电费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2.10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31005</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基础设施建设</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30110</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职工基本医疗保险缴费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19.00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30208</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取暖费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18.00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31006</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大型修缮</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30111</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公务员医疗补助缴费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30209</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物业管理费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223.00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31007</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信息网络及软件购置更新</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30112</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其他社会保障缴费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30211</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差旅费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19.20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31008</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物资储备</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30113</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住房公积金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35.00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30212</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因公出国（境）费用</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31009</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土地补偿</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30114</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医疗费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30213</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维修（护）费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204.00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31010</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安置补助</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30199</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其他工资福利支出</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121.00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30214</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租赁费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322.00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31011</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地上附着物和青苗补偿</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对个人和家庭的补助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44.00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30215</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会议费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2.40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31012</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拆迁补偿</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30301</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离休费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30216</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培训费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31013</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公务用车购置</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30302</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退休费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18.00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30217</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公务接待费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31019</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其他交通工具购置</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30303</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退职（役）费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30218</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专用材料费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31021</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文物和陈列品购置</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30304</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抚恤金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30224</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被装购置费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31022</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无形资产购置</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30305</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生活补助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26.00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30225</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专用燃料费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31099</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其他资本性支出</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30306</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救济费</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30226</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劳务费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4.90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399</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其他支出</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30307</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医疗费补助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30227</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委托业务费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18.00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39906</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赠与</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30308</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助学金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30228</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工会经费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39907</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国家赔偿费用支出</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30309</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奖励金</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30229</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福利费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39908</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对民间非营利组织和群众性自治组织补贴</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30310</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个人农业生产补贴</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30231</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公务用车运行维护费</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11.00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39999</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其他支出</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30399</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其他对个人和家庭的补助</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30239</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其他交通费用</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9.20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Arial"/>
                <w:kern w:val="0"/>
                <w:sz w:val="20"/>
                <w:szCs w:val="20"/>
                <w:lang w:val="en-US"/>
              </w:rPr>
            </w:pP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30240</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xml:space="preserve">  税金及附加费用</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Arial"/>
                <w:kern w:val="0"/>
                <w:sz w:val="20"/>
                <w:szCs w:val="20"/>
                <w:lang w:val="en-US"/>
              </w:rPr>
            </w:pPr>
          </w:p>
        </w:tc>
      </w:tr>
      <w:tr>
        <w:tblPrEx>
          <w:shd w:val="clear" w:color="auto" w:fill="auto"/>
          <w:tblCellMar>
            <w:top w:w="0" w:type="dxa"/>
            <w:left w:w="108" w:type="dxa"/>
            <w:bottom w:w="0" w:type="dxa"/>
            <w:right w:w="108" w:type="dxa"/>
          </w:tblCellMar>
        </w:tblPrEx>
        <w:trPr>
          <w:trHeight w:val="300" w:hRule="atLeast"/>
        </w:trPr>
        <w:tc>
          <w:tcPr>
            <w:tcW w:w="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3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Arial"/>
                <w:kern w:val="0"/>
                <w:sz w:val="20"/>
                <w:szCs w:val="20"/>
                <w:lang w:val="en-US"/>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30299</w:t>
            </w:r>
          </w:p>
        </w:tc>
        <w:tc>
          <w:tcPr>
            <w:tcW w:w="20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其他商品和服务支出</w:t>
            </w:r>
          </w:p>
        </w:tc>
        <w:tc>
          <w:tcPr>
            <w:tcW w:w="83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370.00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383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　</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Arial"/>
                <w:kern w:val="0"/>
                <w:sz w:val="20"/>
                <w:szCs w:val="20"/>
                <w:lang w:val="en-US"/>
              </w:rPr>
            </w:pPr>
          </w:p>
        </w:tc>
      </w:tr>
      <w:tr>
        <w:tblPrEx>
          <w:shd w:val="clear" w:color="auto" w:fill="auto"/>
          <w:tblCellMar>
            <w:top w:w="0" w:type="dxa"/>
            <w:left w:w="108" w:type="dxa"/>
            <w:bottom w:w="0" w:type="dxa"/>
            <w:right w:w="108" w:type="dxa"/>
          </w:tblCellMar>
        </w:tblPrEx>
        <w:trPr>
          <w:trHeight w:val="300" w:hRule="atLeast"/>
        </w:trPr>
        <w:tc>
          <w:tcPr>
            <w:tcW w:w="389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人员经费合计</w:t>
            </w:r>
          </w:p>
        </w:tc>
        <w:tc>
          <w:tcPr>
            <w:tcW w:w="9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1,207.09</w:t>
            </w:r>
          </w:p>
        </w:tc>
        <w:tc>
          <w:tcPr>
            <w:tcW w:w="8134"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公用经费合计</w:t>
            </w:r>
          </w:p>
        </w:tc>
        <w:tc>
          <w:tcPr>
            <w:tcW w:w="10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Arial"/>
                <w:kern w:val="0"/>
                <w:sz w:val="20"/>
                <w:szCs w:val="20"/>
                <w:lang w:val="en-US"/>
              </w:rPr>
            </w:pPr>
            <w:r>
              <w:rPr>
                <w:rFonts w:hint="eastAsia" w:ascii="宋体" w:hAnsi="宋体" w:eastAsia="宋体" w:cs="宋体"/>
                <w:i w:val="0"/>
                <w:color w:val="000000"/>
                <w:kern w:val="0"/>
                <w:sz w:val="22"/>
                <w:szCs w:val="22"/>
                <w:u w:val="none"/>
                <w:lang w:val="en-US" w:eastAsia="zh-CN" w:bidi="ar"/>
              </w:rPr>
              <w:t>1,909.81</w:t>
            </w:r>
          </w:p>
        </w:tc>
      </w:tr>
      <w:tr>
        <w:tblPrEx>
          <w:shd w:val="clear" w:color="auto" w:fill="auto"/>
          <w:tblCellMar>
            <w:top w:w="0" w:type="dxa"/>
            <w:left w:w="108" w:type="dxa"/>
            <w:bottom w:w="0" w:type="dxa"/>
            <w:right w:w="108" w:type="dxa"/>
          </w:tblCellMar>
        </w:tblPrEx>
        <w:trPr>
          <w:trHeight w:val="300" w:hRule="atLeast"/>
        </w:trPr>
        <w:tc>
          <w:tcPr>
            <w:tcW w:w="14013" w:type="dxa"/>
            <w:gridSpan w:val="10"/>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lang w:val="en-US"/>
              </w:rPr>
            </w:pPr>
            <w:r>
              <w:rPr>
                <w:rFonts w:hint="eastAsia" w:ascii="宋体" w:hAnsi="宋体" w:eastAsia="宋体" w:cs="Arial"/>
                <w:kern w:val="0"/>
                <w:sz w:val="20"/>
                <w:szCs w:val="20"/>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eastAsia="宋体" w:cs="宋体"/>
                <w:i w:val="0"/>
                <w:color w:val="000000"/>
                <w:kern w:val="0"/>
                <w:sz w:val="20"/>
                <w:szCs w:val="20"/>
                <w:u w:val="none"/>
                <w:lang w:val="en-US" w:eastAsia="zh-CN" w:bidi="ar"/>
              </w:rPr>
              <w:t>范县白衣阁乡</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28.00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17.00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17.00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11.00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0"/>
                <w:rFonts w:hint="default"/>
                <w:sz w:val="20"/>
                <w:szCs w:val="20"/>
                <w:lang w:bidi="ar"/>
              </w:rPr>
              <w:t>预算数为“三公”经费</w:t>
            </w:r>
            <w:r>
              <w:rPr>
                <w:rStyle w:val="10"/>
                <w:rFonts w:hint="eastAsia" w:eastAsia="宋体"/>
                <w:sz w:val="20"/>
                <w:szCs w:val="20"/>
                <w:lang w:eastAsia="zh-CN" w:bidi="ar"/>
              </w:rPr>
              <w:t>调整</w:t>
            </w:r>
            <w:r>
              <w:rPr>
                <w:rStyle w:val="10"/>
                <w:rFonts w:hint="default"/>
                <w:sz w:val="20"/>
                <w:szCs w:val="20"/>
                <w:lang w:bidi="ar"/>
              </w:rPr>
              <w:t>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33"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2424"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eastAsia="宋体" w:cs="宋体"/>
                <w:i w:val="0"/>
                <w:color w:val="000000"/>
                <w:kern w:val="0"/>
                <w:sz w:val="20"/>
                <w:szCs w:val="20"/>
                <w:u w:val="none"/>
                <w:lang w:val="en-US" w:eastAsia="zh-CN" w:bidi="ar"/>
              </w:rPr>
              <w:t>范县白衣阁乡</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33"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3,050.00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3,050.00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3,050.00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城乡社区支出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国有土地使用权出让收入安排的支出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3,050.00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2120801</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征地和拆迁补偿支出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2,207.00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2,207.00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2,207.00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2120803</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城市建设支出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217.00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217.00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217.00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2120804</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626.00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626.00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626.00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注：本表反映部门本年度政府性基金预算财政拨款收入、支出及结转和结余情况。</w:t>
            </w:r>
          </w:p>
        </w:tc>
      </w:tr>
    </w:tbl>
    <w:p>
      <w:pPr>
        <w:jc w:val="center"/>
        <w:rPr>
          <w:rFonts w:hint="eastAsia"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仿宋_GB2312" w:cs="黑体"/>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6634</w:t>
      </w:r>
      <w:r>
        <w:rPr>
          <w:rFonts w:hint="eastAsia" w:ascii="仿宋_GB2312" w:hAnsi="仿宋_GB2312" w:eastAsia="仿宋_GB2312" w:cs="仿宋_GB2312"/>
          <w:sz w:val="32"/>
          <w:szCs w:val="32"/>
        </w:rPr>
        <w:t>万元。与上年度相比，收、支总计各减少</w:t>
      </w:r>
      <w:r>
        <w:rPr>
          <w:rFonts w:hint="eastAsia" w:ascii="仿宋_GB2312" w:hAnsi="仿宋_GB2312" w:eastAsia="仿宋_GB2312" w:cs="仿宋_GB2312"/>
          <w:sz w:val="32"/>
          <w:szCs w:val="32"/>
          <w:lang w:val="en-US" w:eastAsia="zh-CN"/>
        </w:rPr>
        <w:t>2023.96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 xml:space="preserve"> 23 </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乡政府勤俭节约杜绝浪费压缩开支，二是新区征地建设拆迁补偿减少造成总支出减少。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6634</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6634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 xml:space="preserve">100 </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6634</w:t>
      </w:r>
      <w:r>
        <w:rPr>
          <w:rFonts w:hint="eastAsia" w:ascii="仿宋_GB2312" w:hAnsi="仿宋_GB2312" w:eastAsia="仿宋_GB2312" w:cs="仿宋_GB2312"/>
          <w:sz w:val="32"/>
          <w:szCs w:val="32"/>
        </w:rPr>
        <w:t>万元，其中：基本</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 xml:space="preserve"> 3116.9 </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3717.1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6634</w:t>
      </w:r>
      <w:r>
        <w:rPr>
          <w:rFonts w:hint="eastAsia" w:ascii="仿宋_GB2312" w:hAnsi="仿宋_GB2312" w:eastAsia="仿宋_GB2312" w:cs="仿宋_GB2312"/>
          <w:sz w:val="32"/>
          <w:szCs w:val="32"/>
        </w:rPr>
        <w:t>万元。与上年度相比，财政拨款收、支总计各减少</w:t>
      </w:r>
      <w:r>
        <w:rPr>
          <w:rFonts w:hint="eastAsia" w:ascii="仿宋_GB2312" w:hAnsi="仿宋_GB2312" w:eastAsia="仿宋_GB2312" w:cs="仿宋_GB2312"/>
          <w:sz w:val="32"/>
          <w:szCs w:val="32"/>
          <w:lang w:val="en-US" w:eastAsia="zh-CN"/>
        </w:rPr>
        <w:t>2023.96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3584</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882.69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人员工资增长民生工程增加。</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3584</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1143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公共安全</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科学技术（类）支出</w:t>
      </w:r>
      <w:r>
        <w:rPr>
          <w:rFonts w:hint="eastAsia" w:ascii="仿宋_GB2312" w:hAnsi="仿宋_GB2312" w:eastAsia="仿宋_GB2312" w:cs="仿宋_GB2312"/>
          <w:sz w:val="32"/>
          <w:szCs w:val="32"/>
          <w:lang w:val="en-US" w:eastAsia="zh-CN"/>
        </w:rPr>
        <w:t>120万元，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文化旅游体育与传媒（类）支出</w:t>
      </w:r>
      <w:r>
        <w:rPr>
          <w:rFonts w:hint="eastAsia" w:ascii="仿宋_GB2312" w:hAnsi="仿宋_GB2312" w:eastAsia="仿宋_GB2312" w:cs="仿宋_GB2312"/>
          <w:sz w:val="32"/>
          <w:szCs w:val="32"/>
          <w:lang w:val="en-US" w:eastAsia="zh-CN"/>
        </w:rPr>
        <w:t>101万元，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；社会保障和就业（类）支出</w:t>
      </w:r>
      <w:r>
        <w:rPr>
          <w:rFonts w:hint="eastAsia" w:ascii="仿宋_GB2312" w:hAnsi="仿宋_GB2312" w:eastAsia="仿宋_GB2312" w:cs="仿宋_GB2312"/>
          <w:sz w:val="32"/>
          <w:szCs w:val="32"/>
          <w:lang w:val="en-US" w:eastAsia="zh-CN"/>
        </w:rPr>
        <w:t>88万元，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；卫生健康（类）支出</w:t>
      </w:r>
      <w:r>
        <w:rPr>
          <w:rFonts w:hint="eastAsia" w:ascii="仿宋_GB2312" w:hAnsi="仿宋_GB2312" w:eastAsia="仿宋_GB2312" w:cs="仿宋_GB2312"/>
          <w:sz w:val="32"/>
          <w:szCs w:val="32"/>
          <w:lang w:val="en-US" w:eastAsia="zh-CN"/>
        </w:rPr>
        <w:t>104万元，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；节能环保（类）支出</w:t>
      </w:r>
      <w:r>
        <w:rPr>
          <w:rFonts w:hint="eastAsia" w:ascii="仿宋_GB2312" w:hAnsi="仿宋_GB2312" w:eastAsia="仿宋_GB2312" w:cs="仿宋_GB2312"/>
          <w:sz w:val="32"/>
          <w:szCs w:val="32"/>
          <w:lang w:val="en-US" w:eastAsia="zh-CN"/>
        </w:rPr>
        <w:t>40万元，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；城乡社区（类）支出</w:t>
      </w:r>
      <w:r>
        <w:rPr>
          <w:rFonts w:hint="eastAsia" w:ascii="仿宋_GB2312" w:hAnsi="仿宋_GB2312" w:eastAsia="仿宋_GB2312" w:cs="仿宋_GB2312"/>
          <w:sz w:val="32"/>
          <w:szCs w:val="32"/>
          <w:lang w:val="en-US" w:eastAsia="zh-CN"/>
        </w:rPr>
        <w:t>535万元，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14.9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；农林水（类）支出</w:t>
      </w:r>
      <w:r>
        <w:rPr>
          <w:rFonts w:hint="eastAsia" w:ascii="仿宋_GB2312" w:hAnsi="仿宋_GB2312" w:eastAsia="仿宋_GB2312" w:cs="仿宋_GB2312"/>
          <w:sz w:val="32"/>
          <w:szCs w:val="32"/>
          <w:lang w:val="en-US" w:eastAsia="zh-CN"/>
        </w:rPr>
        <w:t>1279万元，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35.7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；住房保障（类）支出</w:t>
      </w:r>
      <w:r>
        <w:rPr>
          <w:rFonts w:hint="eastAsia" w:ascii="仿宋_GB2312" w:hAnsi="仿宋_GB2312" w:eastAsia="仿宋_GB2312" w:cs="仿宋_GB2312"/>
          <w:sz w:val="32"/>
          <w:szCs w:val="32"/>
          <w:lang w:val="en-US" w:eastAsia="zh-CN"/>
        </w:rPr>
        <w:t>35万元，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0.97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；灾害防治及应急管理（类）支出</w:t>
      </w:r>
      <w:r>
        <w:rPr>
          <w:rFonts w:hint="eastAsia" w:ascii="仿宋_GB2312" w:hAnsi="仿宋_GB2312" w:eastAsia="仿宋_GB2312" w:cs="仿宋_GB2312"/>
          <w:sz w:val="32"/>
          <w:szCs w:val="32"/>
          <w:lang w:val="en-US" w:eastAsia="zh-CN"/>
        </w:rPr>
        <w:t>20万，</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0.55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2985.72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3584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一般公共服务</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1037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1143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人员工资增长</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城乡社区（类）支出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535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；农林水（类）支出年初预算</w:t>
      </w:r>
      <w:r>
        <w:rPr>
          <w:rFonts w:hint="eastAsia" w:ascii="仿宋_GB2312" w:hAnsi="仿宋_GB2312" w:eastAsia="仿宋_GB2312" w:cs="仿宋_GB2312"/>
          <w:sz w:val="32"/>
          <w:szCs w:val="32"/>
          <w:lang w:val="en-US" w:eastAsia="zh-CN"/>
        </w:rPr>
        <w:t>885万元，支出决算数为1279万元，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民生工程增加，农业项目增加。</w:t>
      </w:r>
    </w:p>
    <w:p>
      <w:pPr>
        <w:widowControl/>
        <w:spacing w:line="590" w:lineRule="exact"/>
        <w:ind w:firstLine="640" w:firstLineChars="200"/>
        <w:outlineLvl w:val="1"/>
        <w:rPr>
          <w:rFonts w:hint="eastAsia" w:ascii="黑体" w:hAnsi="黑体" w:eastAsia="黑体" w:cs="黑体"/>
          <w:sz w:val="32"/>
          <w:szCs w:val="32"/>
        </w:rPr>
      </w:pPr>
      <w:bookmarkStart w:id="0" w:name="_GoBack"/>
      <w:bookmarkEnd w:id="0"/>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 xml:space="preserve"> 3116.9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与上年度相比，增加</w:t>
      </w:r>
      <w:r>
        <w:rPr>
          <w:rFonts w:hint="eastAsia" w:ascii="仿宋_GB2312" w:hAnsi="仿宋_GB2312" w:eastAsia="仿宋_GB2312" w:cs="仿宋_GB2312"/>
          <w:sz w:val="32"/>
          <w:szCs w:val="32"/>
          <w:highlight w:val="none"/>
          <w:lang w:val="en-US" w:eastAsia="zh-CN"/>
        </w:rPr>
        <w:t>832</w:t>
      </w:r>
      <w:r>
        <w:rPr>
          <w:rFonts w:hint="eastAsia" w:ascii="仿宋_GB2312" w:hAnsi="仿宋_GB2312" w:eastAsia="仿宋_GB2312" w:cs="仿宋_GB2312"/>
          <w:sz w:val="32"/>
          <w:szCs w:val="32"/>
          <w:highlight w:val="none"/>
        </w:rPr>
        <w:t>万元，增</w:t>
      </w:r>
      <w:r>
        <w:rPr>
          <w:rFonts w:hint="eastAsia" w:ascii="仿宋_GB2312" w:hAnsi="仿宋_GB2312" w:eastAsia="仿宋_GB2312" w:cs="仿宋_GB2312"/>
          <w:sz w:val="32"/>
          <w:szCs w:val="32"/>
          <w:highlight w:val="none"/>
          <w:lang w:eastAsia="zh-CN"/>
        </w:rPr>
        <w:t>长</w:t>
      </w:r>
      <w:r>
        <w:rPr>
          <w:rFonts w:hint="eastAsia" w:ascii="仿宋_GB2312" w:hAnsi="仿宋_GB2312" w:eastAsia="仿宋_GB2312" w:cs="仿宋_GB2312"/>
          <w:sz w:val="32"/>
          <w:szCs w:val="32"/>
          <w:highlight w:val="none"/>
          <w:lang w:val="en-US" w:eastAsia="zh-CN"/>
        </w:rPr>
        <w:t xml:space="preserve"> 26.7</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人员工资增长</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1163</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公用经费</w:t>
      </w:r>
      <w:r>
        <w:rPr>
          <w:rFonts w:hint="eastAsia" w:ascii="仿宋_GB2312" w:hAnsi="仿宋_GB2312" w:eastAsia="仿宋_GB2312" w:cs="仿宋_GB2312"/>
          <w:sz w:val="32"/>
          <w:szCs w:val="32"/>
          <w:lang w:val="en-US" w:eastAsia="zh-CN"/>
        </w:rPr>
        <w:t>1953.9</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eastAsia="zh-CN"/>
        </w:rPr>
        <w:t>乡政府勤俭节药大力压缩三公经费支出</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35.7</w:t>
      </w:r>
      <w:r>
        <w:rPr>
          <w:rFonts w:hint="eastAsia" w:ascii="仿宋_GB2312" w:hAnsi="仿宋_GB2312" w:eastAsia="仿宋_GB2312" w:cs="仿宋_GB2312"/>
          <w:sz w:val="32"/>
          <w:szCs w:val="32"/>
        </w:rPr>
        <w:t>×%。具体情况如下：</w:t>
      </w:r>
    </w:p>
    <w:p>
      <w:pPr>
        <w:widowControl/>
        <w:numPr>
          <w:ilvl w:val="0"/>
          <w:numId w:val="2"/>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widowControl/>
        <w:numPr>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eastAsia="zh-CN"/>
        </w:rPr>
        <w:t>按照上级文件精神，只</w:t>
      </w:r>
      <w:r>
        <w:rPr>
          <w:rFonts w:hint="eastAsia" w:ascii="仿宋_GB2312" w:hAnsi="仿宋_GB2312" w:eastAsia="仿宋_GB2312" w:cs="仿宋_GB2312"/>
          <w:sz w:val="32"/>
          <w:szCs w:val="32"/>
          <w:lang w:val="en-US" w:eastAsia="zh-CN"/>
        </w:rPr>
        <w:t>减</w:t>
      </w:r>
      <w:r>
        <w:rPr>
          <w:rFonts w:hint="eastAsia" w:ascii="仿宋_GB2312" w:hAnsi="仿宋_GB2312" w:eastAsia="仿宋_GB2312" w:cs="仿宋_GB2312"/>
          <w:sz w:val="32"/>
          <w:szCs w:val="32"/>
          <w:lang w:eastAsia="zh-CN"/>
        </w:rPr>
        <w:t>不增，杜绝浪费，压缩开支。</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公务用车燃料费微修费过路费保险费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sz w:val="32"/>
          <w:szCs w:val="32"/>
          <w:lang w:eastAsia="zh-CN"/>
        </w:rPr>
        <w:t>按照上级文件精神，只减不增，杜绝浪费，压缩开支，</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
        </w:rPr>
        <w:t>2020年，白衣阁乡政府认真贯彻落实财政部预算绩效管理工作要求，建立健全工作机制。加强完善制度建设，结合当年预算绩效管理目标任务从预算源头抓起，进一步落实，不论参评项目涉及资金多少，都要立项依据充分与民生保障和社会发展密切相关，能充分体现部门履行职能的要求编制项目绩效目标，，进一步强化预算单位绩效意识和支出责任，加快“预算编制目标，执行预算有监控，预算完成有评价，评价结果有运用”的预算绩效管理机制</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eastAsia="zh-CN"/>
        </w:rPr>
        <w:t>白衣阁乡绩效管理成效特别显著，根据对白衣阁乡</w:t>
      </w:r>
      <w:r>
        <w:rPr>
          <w:rFonts w:hint="eastAsia" w:ascii="仿宋_GB2312" w:hAnsi="仿宋_GB2312" w:eastAsia="仿宋_GB2312" w:cs="仿宋_GB2312"/>
          <w:sz w:val="32"/>
          <w:szCs w:val="32"/>
          <w:lang w:val="en-US" w:eastAsia="zh-CN"/>
        </w:rPr>
        <w:t>2020年几个项目预算重点绩效目标考评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项目支出都完成了较好既定目标，并取得了良好的经济与社会效益。</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3050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3050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区征地拆迁，城中村改造补偿。</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年期末，我部门共有车辆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辆，其中：、主要领导干部</w:t>
      </w:r>
      <w:r>
        <w:rPr>
          <w:rFonts w:hint="eastAsia" w:ascii="仿宋_GB2312" w:hAnsi="仿宋_GB2312" w:eastAsia="仿宋_GB2312" w:cs="仿宋_GB2312"/>
          <w:sz w:val="32"/>
          <w:szCs w:val="32"/>
          <w:lang w:eastAsia="zh-CN"/>
        </w:rPr>
        <w:t>一般公务</w:t>
      </w:r>
      <w:r>
        <w:rPr>
          <w:rFonts w:hint="eastAsia" w:ascii="仿宋_GB2312" w:hAnsi="仿宋_GB2312" w:eastAsia="仿宋_GB2312" w:cs="仿宋_GB2312"/>
          <w:sz w:val="32"/>
          <w:szCs w:val="32"/>
        </w:rPr>
        <w:t>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Noto Sans CJK SC"/>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Arial">
    <w:panose1 w:val="020B0606020202030204"/>
    <w:charset w:val="00"/>
    <w:family w:val="auto"/>
    <w:pitch w:val="default"/>
    <w:sig w:usb0="00000287" w:usb1="00000800" w:usb2="00000000" w:usb3="00000000" w:csb0="2000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false">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&#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M6pebnPAAAABQEAAA8AAAAAAAAAAQAgAAAAOAAAAGRy&#10;cy9kb3ducmV2LnhtbFBLAQIUABQAAAAIAIdO4kBt1QwMvwEAAF4DAAAOAAAAAAAAAAEAIAAAADQB&#10;AABkcnMvZTJvRG9jLnhtbFBLBQYAAAAABgAGAFkBAABl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&#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vdr/OcABAABeAwAADgAAAAAAAAABACAAAAA0&#10;AQAAZHJzL2Uyb0RvYy54bWxQSwUGAAAAAAYABgBZAQAAZ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false">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lG/OmcABAABeAwAADgAAAAAAAAABACAAAAA0&#10;AQAAZHJzL2Uyb0RvYy54bWxQSwUGAAAAAAYABgBZAQAAZ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21F17"/>
    <w:multiLevelType w:val="singleLevel"/>
    <w:tmpl w:val="BF621F17"/>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A502B"/>
    <w:rsid w:val="0907729C"/>
    <w:rsid w:val="1CD11A0F"/>
    <w:rsid w:val="21DC286A"/>
    <w:rsid w:val="240E06F2"/>
    <w:rsid w:val="25703520"/>
    <w:rsid w:val="29025628"/>
    <w:rsid w:val="2C250F60"/>
    <w:rsid w:val="2D5347F6"/>
    <w:rsid w:val="31766E7A"/>
    <w:rsid w:val="34BB2AED"/>
    <w:rsid w:val="3E4C25CA"/>
    <w:rsid w:val="3FFFF38D"/>
    <w:rsid w:val="42984050"/>
    <w:rsid w:val="46CC5F3A"/>
    <w:rsid w:val="4701142B"/>
    <w:rsid w:val="47866D7F"/>
    <w:rsid w:val="497A2108"/>
    <w:rsid w:val="4EFC09E4"/>
    <w:rsid w:val="506A25EE"/>
    <w:rsid w:val="54B52E82"/>
    <w:rsid w:val="587F2E51"/>
    <w:rsid w:val="5F377DB7"/>
    <w:rsid w:val="6FCF628C"/>
    <w:rsid w:val="7D3D03F9"/>
    <w:rsid w:val="BE581312"/>
    <w:rsid w:val="F81D3E7B"/>
    <w:rsid w:val="FBF90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5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pyadmin</cp:lastModifiedBy>
  <dcterms:modified xsi:type="dcterms:W3CDTF">2021-11-04T14:56:36Z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C32B5B8BDE8244779963F265CE44C7A6</vt:lpwstr>
  </property>
</Properties>
</file>