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hint="eastAsia" w:ascii="黑体" w:hAnsi="黑体" w:eastAsia="黑体" w:cs="黑体"/>
          <w:sz w:val="52"/>
          <w:szCs w:val="52"/>
          <w:lang w:val="en-US" w:eastAsia="zh-CN"/>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辛庄镇人民政府</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一</w:t>
      </w:r>
      <w:r>
        <w:rPr>
          <w:rFonts w:hint="eastAsia" w:ascii="黑体" w:hAnsi="黑体" w:eastAsia="黑体" w:cs="黑体"/>
          <w:sz w:val="32"/>
          <w:szCs w:val="32"/>
        </w:rPr>
        <w:t>年</w:t>
      </w:r>
      <w:r>
        <w:rPr>
          <w:rFonts w:hint="eastAsia" w:ascii="黑体" w:hAnsi="黑体" w:eastAsia="黑体" w:cs="黑体"/>
          <w:sz w:val="32"/>
          <w:szCs w:val="32"/>
          <w:highlight w:val="none"/>
          <w:lang w:eastAsia="zh-CN"/>
        </w:rPr>
        <w:t>十一</w:t>
      </w:r>
      <w:r>
        <w:rPr>
          <w:rFonts w:hint="eastAsia" w:ascii="黑体" w:hAnsi="黑体" w:eastAsia="黑体" w:cs="黑体"/>
          <w:sz w:val="32"/>
          <w:szCs w:val="32"/>
          <w:highlight w:val="none"/>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范县辛庄镇人民政府</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范县辛庄镇人民政府</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color w:val="212121"/>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212121"/>
          <w:sz w:val="32"/>
          <w:szCs w:val="32"/>
          <w:shd w:val="clear" w:color="auto" w:fill="FFFFFF"/>
        </w:rPr>
        <w:t>执行本级人民代表大会的决议和上级国家行政机关的决定和命令，发布决定和命令;</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（二）执行本行政区域内的经济和社会发展计划、预算，管理本行政区域内的经济、教育、科学、文化、卫生、体育事业和财政、民政、公安、司法行政、计划生育等行政工作;</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212121"/>
          <w:sz w:val="32"/>
          <w:szCs w:val="32"/>
          <w:shd w:val="clear" w:color="auto" w:fill="FFFFFF"/>
        </w:rPr>
        <w:t>（三）保护社会主义的全民所有的财产和劳动群众集体所有的财产，保护公民私人所有的合法财产，维护社会秩序，保障公民的人身权利、民-主权利和其他权利。</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河南省范县辛庄镇人民政府有二级预算单位5个。本决算为汇总决算，纳入本部门2018年度部门决算编报范围的二级预算单位如下：</w:t>
      </w:r>
    </w:p>
    <w:p>
      <w:pPr>
        <w:pStyle w:val="4"/>
        <w:widowControl/>
        <w:shd w:val="clear" w:color="auto" w:fill="FFFFFF"/>
        <w:spacing w:before="0" w:beforeAutospacing="0" w:after="0" w:afterAutospacing="0" w:line="315" w:lineRule="atLeast"/>
        <w:ind w:left="761" w:firstLine="356"/>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pacing w:val="-1"/>
          <w:sz w:val="32"/>
          <w:szCs w:val="32"/>
          <w:shd w:val="clear" w:color="auto" w:fill="FFFFFF"/>
        </w:rPr>
        <w:t>1.</w:t>
      </w:r>
      <w:r>
        <w:rPr>
          <w:rFonts w:hint="eastAsia" w:ascii="仿宋_GB2312" w:hAnsi="仿宋_GB2312" w:eastAsia="仿宋_GB2312" w:cs="仿宋_GB2312"/>
          <w:color w:val="212121"/>
          <w:sz w:val="32"/>
          <w:szCs w:val="32"/>
          <w:shd w:val="clear" w:color="auto" w:fill="FFFFFF"/>
        </w:rPr>
        <w:t> 河南省范县辛庄镇人民政府</w:t>
      </w:r>
      <w:r>
        <w:rPr>
          <w:rFonts w:hint="eastAsia" w:ascii="仿宋_GB2312" w:hAnsi="仿宋_GB2312" w:eastAsia="仿宋_GB2312" w:cs="仿宋_GB2312"/>
          <w:color w:val="212121"/>
          <w:spacing w:val="-1"/>
          <w:sz w:val="32"/>
          <w:szCs w:val="32"/>
          <w:shd w:val="clear" w:color="auto" w:fill="FFFFFF"/>
        </w:rPr>
        <w:t>本级</w:t>
      </w:r>
    </w:p>
    <w:p>
      <w:pPr>
        <w:pStyle w:val="4"/>
        <w:widowControl/>
        <w:shd w:val="clear" w:color="auto" w:fill="FFFFFF"/>
        <w:spacing w:before="0" w:beforeAutospacing="0" w:after="0" w:afterAutospacing="0" w:line="315" w:lineRule="atLeast"/>
        <w:ind w:left="760" w:firstLine="356"/>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pacing w:val="-1"/>
          <w:sz w:val="32"/>
          <w:szCs w:val="32"/>
          <w:shd w:val="clear" w:color="auto" w:fill="FFFFFF"/>
        </w:rPr>
        <w:t>2.</w:t>
      </w:r>
      <w:r>
        <w:rPr>
          <w:rFonts w:hint="eastAsia" w:ascii="仿宋_GB2312" w:hAnsi="仿宋_GB2312" w:eastAsia="仿宋_GB2312" w:cs="仿宋_GB2312"/>
          <w:color w:val="212121"/>
          <w:sz w:val="32"/>
          <w:szCs w:val="32"/>
          <w:shd w:val="clear" w:color="auto" w:fill="FFFFFF"/>
        </w:rPr>
        <w:t> 范县辛庄镇计划生育服务中心</w:t>
      </w:r>
    </w:p>
    <w:p>
      <w:pPr>
        <w:pStyle w:val="4"/>
        <w:widowControl/>
        <w:shd w:val="clear" w:color="auto" w:fill="FFFFFF"/>
        <w:spacing w:before="0" w:beforeAutospacing="0" w:after="0" w:afterAutospacing="0" w:line="315" w:lineRule="atLeast"/>
        <w:ind w:firstLine="64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    3. 范县辛庄镇文化服务中心</w:t>
      </w:r>
    </w:p>
    <w:p>
      <w:pPr>
        <w:pStyle w:val="4"/>
        <w:widowControl/>
        <w:shd w:val="clear" w:color="auto" w:fill="FFFFFF"/>
        <w:spacing w:before="0" w:beforeAutospacing="0" w:after="0" w:afterAutospacing="0" w:line="315" w:lineRule="atLeast"/>
        <w:ind w:firstLine="112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4.范县辛庄镇农业服务中心</w:t>
      </w:r>
    </w:p>
    <w:p>
      <w:pPr>
        <w:pStyle w:val="4"/>
        <w:widowControl/>
        <w:shd w:val="clear" w:color="auto" w:fill="FFFFFF"/>
        <w:spacing w:before="0" w:beforeAutospacing="0" w:after="0" w:afterAutospacing="0" w:line="315" w:lineRule="atLeast"/>
        <w:ind w:firstLine="1120"/>
        <w:rPr>
          <w:rFonts w:hint="eastAsia" w:ascii="仿宋_GB2312" w:hAnsi="仿宋_GB2312" w:eastAsia="仿宋_GB2312" w:cs="仿宋_GB2312"/>
          <w:color w:val="212121"/>
          <w:sz w:val="32"/>
          <w:szCs w:val="32"/>
        </w:rPr>
      </w:pPr>
      <w:r>
        <w:rPr>
          <w:rFonts w:hint="eastAsia" w:ascii="仿宋_GB2312" w:hAnsi="仿宋_GB2312" w:eastAsia="仿宋_GB2312" w:cs="仿宋_GB2312"/>
          <w:color w:val="212121"/>
          <w:sz w:val="32"/>
          <w:szCs w:val="32"/>
          <w:shd w:val="clear" w:color="auto" w:fill="FFFFFF"/>
        </w:rPr>
        <w:t>5.范县辛庄镇村镇建设发展中心</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3,252.93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15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4616"/>
        <w:gridCol w:w="1251"/>
        <w:gridCol w:w="1250"/>
        <w:gridCol w:w="786"/>
        <w:gridCol w:w="777"/>
        <w:gridCol w:w="782"/>
        <w:gridCol w:w="77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31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6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4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5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4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武装警察部队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其他武装警察部队支出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优抚事业单位支出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其他污水处理费安排的支出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4616"/>
        <w:gridCol w:w="1113"/>
        <w:gridCol w:w="1113"/>
        <w:gridCol w:w="891"/>
        <w:gridCol w:w="668"/>
        <w:gridCol w:w="66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14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5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2,966.93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928.62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武装警察部队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其他武装警察部队支出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优抚事业单位支出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其他污水处理费安排的支出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594"/>
        <w:gridCol w:w="1380"/>
        <w:gridCol w:w="3676"/>
        <w:gridCol w:w="594"/>
        <w:gridCol w:w="1146"/>
        <w:gridCol w:w="1567"/>
        <w:gridCol w:w="124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34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0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0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3,252.93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3,895.54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4616"/>
        <w:gridCol w:w="1103"/>
        <w:gridCol w:w="110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3,252.93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2,966.93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武装警察部队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其他武装警察部队支出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优抚事业单位支出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63"/>
        <w:gridCol w:w="2629"/>
        <w:gridCol w:w="859"/>
        <w:gridCol w:w="618"/>
        <w:gridCol w:w="1825"/>
        <w:gridCol w:w="859"/>
        <w:gridCol w:w="618"/>
        <w:gridCol w:w="3272"/>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1,895.89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1,066.90</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1136"/>
        <w:gridCol w:w="981"/>
        <w:gridCol w:w="885"/>
        <w:gridCol w:w="1018"/>
        <w:gridCol w:w="885"/>
        <w:gridCol w:w="996"/>
        <w:gridCol w:w="1130"/>
        <w:gridCol w:w="1014"/>
        <w:gridCol w:w="900"/>
        <w:gridCol w:w="102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595"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1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455"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8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9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90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8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3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59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5"/>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3736"/>
        <w:gridCol w:w="1069"/>
        <w:gridCol w:w="1329"/>
        <w:gridCol w:w="1329"/>
        <w:gridCol w:w="1069"/>
        <w:gridCol w:w="1329"/>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部门：河南省濮阳市范县辛庄镇</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其他污水处理费安排的支出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hint="eastAsia" w:ascii="仿宋_GB2312" w:hAnsi="仿宋_GB2312" w:eastAsia="仿宋_GB2312" w:cs="仿宋_GB2312"/>
          <w:sz w:val="32"/>
          <w:szCs w:val="32"/>
        </w:rPr>
        <w:sectPr>
          <w:pgSz w:w="16838" w:h="11906" w:orient="landscape"/>
          <w:pgMar w:top="1587" w:right="170" w:bottom="1644" w:left="283" w:header="720" w:footer="720" w:gutter="0"/>
          <w:pgNumType w:fmt="numberInDash"/>
          <w:cols w:space="720" w:num="1"/>
          <w:docGrid w:type="lines" w:linePitch="312" w:charSpace="0"/>
        </w:sectPr>
      </w:pPr>
    </w:p>
    <w:p>
      <w:pPr>
        <w:jc w:val="center"/>
        <w:rPr>
          <w:rFonts w:hint="eastAsia" w:ascii="仿宋_GB2312" w:hAnsi="仿宋_GB2312" w:eastAsia="仿宋_GB2312" w:cs="仿宋_GB2312"/>
          <w:sz w:val="32"/>
          <w:szCs w:val="32"/>
          <w:highlight w:val="yellow"/>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3895.54</w:t>
      </w:r>
      <w:r>
        <w:rPr>
          <w:rFonts w:hint="eastAsia" w:ascii="仿宋_GB2312" w:hAnsi="仿宋_GB2312" w:eastAsia="仿宋_GB2312" w:cs="仿宋_GB2312"/>
          <w:sz w:val="32"/>
          <w:szCs w:val="32"/>
        </w:rPr>
        <w:t>万元。与上年度相比，收、支总计各减少</w:t>
      </w:r>
      <w:r>
        <w:rPr>
          <w:rFonts w:hint="eastAsia" w:ascii="仿宋_GB2312" w:hAnsi="仿宋_GB2312" w:eastAsia="仿宋_GB2312" w:cs="仿宋_GB2312"/>
          <w:sz w:val="32"/>
          <w:szCs w:val="32"/>
          <w:lang w:val="en-US" w:eastAsia="zh-CN"/>
        </w:rPr>
        <w:t>393.46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9.17</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3894.54</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2756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70.75</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1139.54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29.25</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3895.54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2967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76.16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928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23.84</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2967</w:t>
      </w:r>
      <w:r>
        <w:rPr>
          <w:rFonts w:hint="eastAsia" w:ascii="仿宋_GB2312" w:hAnsi="仿宋_GB2312" w:eastAsia="仿宋_GB2312" w:cs="仿宋_GB2312"/>
          <w:sz w:val="32"/>
          <w:szCs w:val="32"/>
        </w:rPr>
        <w:t>万元。与上年度相比，财政拨款收、支总计各增加</w:t>
      </w: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3.74</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3253</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83.51</w:t>
      </w:r>
      <w:r>
        <w:rPr>
          <w:rFonts w:hint="eastAsia" w:ascii="仿宋_GB2312" w:hAnsi="仿宋_GB2312" w:eastAsia="仿宋_GB2312" w:cs="仿宋_GB2312"/>
          <w:sz w:val="32"/>
          <w:szCs w:val="32"/>
        </w:rPr>
        <w:t>%。与上年度相比，一般公共预算财政拨款支出减少</w:t>
      </w:r>
      <w:r>
        <w:rPr>
          <w:rFonts w:hint="eastAsia" w:ascii="仿宋_GB2312" w:hAnsi="仿宋_GB2312" w:eastAsia="仿宋_GB2312" w:cs="仿宋_GB2312"/>
          <w:sz w:val="32"/>
          <w:szCs w:val="32"/>
          <w:lang w:val="en-US" w:eastAsia="zh-CN"/>
        </w:rPr>
        <w:t>1016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20</w:t>
      </w:r>
      <w:r>
        <w:rPr>
          <w:rFonts w:hint="eastAsia" w:ascii="Times New Roman" w:hAnsi="Times New Roman" w:eastAsia="仿宋_GB2312"/>
          <w:sz w:val="32"/>
          <w:szCs w:val="32"/>
          <w:lang w:val="en-US" w:eastAsia="zh-CN"/>
        </w:rPr>
        <w:t>20</w:t>
      </w:r>
      <w:r>
        <w:rPr>
          <w:rFonts w:ascii="Times New Roman" w:hAnsi="仿宋_GB2312" w:eastAsia="仿宋_GB2312"/>
          <w:sz w:val="32"/>
          <w:szCs w:val="32"/>
          <w:lang w:val="zh-CN"/>
        </w:rPr>
        <w:t>年度一般公共预算财政拨款支出</w:t>
      </w:r>
      <w:r>
        <w:rPr>
          <w:rFonts w:hint="eastAsia" w:ascii="Times New Roman" w:hAnsi="Times New Roman" w:eastAsia="仿宋_GB2312"/>
          <w:kern w:val="0"/>
          <w:sz w:val="32"/>
          <w:szCs w:val="32"/>
          <w:lang w:val="en-US" w:eastAsia="zh-CN"/>
        </w:rPr>
        <w:t>3253</w:t>
      </w:r>
      <w:r>
        <w:rPr>
          <w:rFonts w:ascii="Times New Roman" w:hAnsi="仿宋_GB2312" w:eastAsia="仿宋_GB2312"/>
          <w:sz w:val="32"/>
          <w:szCs w:val="32"/>
          <w:lang w:val="zh-CN"/>
        </w:rPr>
        <w:t>万元，主要用于以下方面：一般公共服务（类）支出</w:t>
      </w:r>
      <w:r>
        <w:rPr>
          <w:rFonts w:hint="eastAsia" w:ascii="Times New Roman" w:hAnsi="Times New Roman" w:eastAsia="仿宋_GB2312"/>
          <w:sz w:val="32"/>
          <w:szCs w:val="32"/>
          <w:lang w:val="en-US" w:eastAsia="zh-CN"/>
        </w:rPr>
        <w:t>960</w:t>
      </w:r>
      <w:r>
        <w:rPr>
          <w:rFonts w:ascii="Times New Roman" w:hAnsi="仿宋_GB2312" w:eastAsia="仿宋_GB2312"/>
          <w:sz w:val="32"/>
          <w:szCs w:val="32"/>
          <w:lang w:val="zh-CN"/>
        </w:rPr>
        <w:t>万元，占</w:t>
      </w:r>
      <w:r>
        <w:rPr>
          <w:rFonts w:hint="eastAsia" w:ascii="Times New Roman" w:hAnsi="Times New Roman" w:eastAsia="仿宋_GB2312"/>
          <w:sz w:val="32"/>
          <w:szCs w:val="32"/>
          <w:lang w:val="en-US" w:eastAsia="zh-CN"/>
        </w:rPr>
        <w:t>29.51</w:t>
      </w:r>
      <w:r>
        <w:rPr>
          <w:rFonts w:ascii="Times New Roman" w:hAnsi="Times New Roman" w:eastAsia="仿宋_GB2312"/>
          <w:sz w:val="32"/>
          <w:szCs w:val="32"/>
          <w:lang w:val="zh-CN"/>
        </w:rPr>
        <w:t>%</w:t>
      </w:r>
      <w:r>
        <w:rPr>
          <w:rFonts w:ascii="Times New Roman" w:hAnsi="仿宋_GB2312" w:eastAsia="仿宋_GB2312"/>
          <w:sz w:val="32"/>
          <w:szCs w:val="32"/>
          <w:lang w:val="zh-CN"/>
        </w:rPr>
        <w:t>；</w:t>
      </w:r>
      <w:r>
        <w:rPr>
          <w:rFonts w:hint="eastAsia" w:ascii="仿宋_GB2312" w:hAnsi="仿宋_GB2312" w:eastAsia="仿宋_GB2312" w:cs="仿宋_GB2312"/>
          <w:sz w:val="32"/>
          <w:szCs w:val="32"/>
        </w:rPr>
        <w:t>公共安全（类）支出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1.48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科学技术支出（类）110万元，占3.38%；</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体育与传媒（类）支出</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3.84</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3.93</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2.64</w:t>
      </w:r>
      <w:r>
        <w:rPr>
          <w:rFonts w:hint="eastAsia" w:ascii="仿宋_GB2312" w:hAnsi="仿宋_GB2312" w:eastAsia="仿宋_GB2312" w:cs="仿宋_GB2312"/>
          <w:sz w:val="32"/>
          <w:szCs w:val="32"/>
        </w:rPr>
        <w:t>%；城乡社区（类）支出</w:t>
      </w:r>
      <w:r>
        <w:rPr>
          <w:rFonts w:hint="eastAsia" w:ascii="仿宋_GB2312" w:hAnsi="仿宋_GB2312" w:eastAsia="仿宋_GB2312" w:cs="仿宋_GB2312"/>
          <w:sz w:val="32"/>
          <w:szCs w:val="32"/>
          <w:lang w:val="en-US" w:eastAsia="zh-CN"/>
        </w:rPr>
        <w:t>362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11.23</w:t>
      </w:r>
      <w:r>
        <w:rPr>
          <w:rFonts w:hint="eastAsia" w:ascii="仿宋_GB2312" w:hAnsi="仿宋_GB2312" w:eastAsia="仿宋_GB2312" w:cs="仿宋_GB2312"/>
          <w:sz w:val="32"/>
          <w:szCs w:val="32"/>
        </w:rPr>
        <w:t>%；农林水（类）支出</w:t>
      </w:r>
      <w:r>
        <w:rPr>
          <w:rFonts w:hint="eastAsia" w:ascii="仿宋_GB2312" w:hAnsi="仿宋_GB2312" w:eastAsia="仿宋_GB2312" w:cs="仿宋_GB2312"/>
          <w:sz w:val="32"/>
          <w:szCs w:val="32"/>
          <w:lang w:val="en-US" w:eastAsia="zh-CN"/>
        </w:rPr>
        <w:t>1399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%；住房保障（类）支出</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3168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3253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102.68</w:t>
      </w:r>
      <w:r>
        <w:rPr>
          <w:rFonts w:hint="eastAsia" w:ascii="仿宋_GB2312" w:hAnsi="仿宋_GB2312" w:eastAsia="仿宋_GB2312" w:cs="仿宋_GB2312"/>
          <w:sz w:val="32"/>
          <w:szCs w:val="32"/>
        </w:rPr>
        <w:t>%。其中：</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科学技术支出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其他科学技术支出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其他科学技术支出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加大对企业的投资</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2967</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highlight w:val="none"/>
        </w:rPr>
        <w:t>与上年度相比，减少</w:t>
      </w:r>
      <w:r>
        <w:rPr>
          <w:rFonts w:hint="eastAsia" w:ascii="仿宋_GB2312" w:hAnsi="仿宋_GB2312" w:eastAsia="仿宋_GB2312" w:cs="仿宋_GB2312"/>
          <w:color w:val="auto"/>
          <w:sz w:val="32"/>
          <w:szCs w:val="32"/>
          <w:highlight w:val="none"/>
          <w:lang w:val="en-US" w:eastAsia="zh-CN"/>
        </w:rPr>
        <w:t>83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2.72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其中：人员经费</w:t>
      </w:r>
      <w:r>
        <w:rPr>
          <w:rFonts w:hint="eastAsia" w:ascii="仿宋_GB2312" w:hAnsi="仿宋_GB2312" w:eastAsia="仿宋_GB2312" w:cs="仿宋_GB2312"/>
          <w:sz w:val="32"/>
          <w:szCs w:val="32"/>
          <w:lang w:val="en-US" w:eastAsia="zh-CN"/>
        </w:rPr>
        <w:t>1037</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退职（役）费、抚恤金、生活补助、救济费、医疗费补助、助学金、奖励金、其他对个人和家庭的补助支出；公用经费</w:t>
      </w:r>
      <w:r>
        <w:rPr>
          <w:rFonts w:hint="eastAsia" w:ascii="仿宋_GB2312" w:hAnsi="仿宋_GB2312" w:eastAsia="仿宋_GB2312" w:cs="仿宋_GB2312"/>
          <w:sz w:val="32"/>
          <w:szCs w:val="32"/>
          <w:lang w:val="en-US" w:eastAsia="zh-CN"/>
        </w:rPr>
        <w:t>1900</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国内债务付息、办公设备购置、专用设备购置、信息网络及软件购置更新、公务用车购置、其他交通工具购置、文物和陈列品购置、无形资产购置、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86.67</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sz w:val="32"/>
          <w:szCs w:val="32"/>
          <w:lang w:eastAsia="zh-CN"/>
        </w:rPr>
        <w:t>压缩汽车支出，减少招待费</w:t>
      </w:r>
      <w:r>
        <w:rPr>
          <w:rFonts w:hint="eastAsia" w:ascii="仿宋_GB2312" w:hAnsi="仿宋_GB2312" w:eastAsia="仿宋_GB2312" w:cs="仿宋_GB2312"/>
          <w:sz w:val="32"/>
          <w:szCs w:val="32"/>
        </w:rPr>
        <w:t>。</w:t>
      </w:r>
    </w:p>
    <w:p>
      <w:pPr>
        <w:widowControl/>
        <w:spacing w:line="590" w:lineRule="exact"/>
        <w:ind w:firstLine="640"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76.9</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23.1</w:t>
      </w:r>
      <w:r>
        <w:rPr>
          <w:rFonts w:hint="eastAsia" w:ascii="仿宋_GB2312" w:hAnsi="仿宋_GB2312" w:eastAsia="仿宋_GB2312" w:cs="仿宋_GB2312"/>
          <w:sz w:val="32"/>
          <w:szCs w:val="32"/>
        </w:rPr>
        <w:t>%。具体情况如下：</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汽车维修、加油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widowControl/>
        <w:numPr>
          <w:ilvl w:val="0"/>
          <w:numId w:val="2"/>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w:t>
      </w:r>
    </w:p>
    <w:p>
      <w:pPr>
        <w:widowControl/>
        <w:numPr>
          <w:ilvl w:val="0"/>
          <w:numId w:val="2"/>
        </w:numPr>
        <w:spacing w:line="59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接待上级来访、来查人员</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0"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2020年，我部门（单位）纳入预算绩效管理的支出总额为3895.54万元，其中人员经费支出1067万元，公用经费支出1900万元；支出项目共11个，支出金额929万元。其中，进行项目绩效自评10个，自评金额929万元；纳入重点绩效评价（部门评价或财政评价）7个，评价金额618万元。</w:t>
      </w:r>
    </w:p>
    <w:p>
      <w:pPr>
        <w:widowControl/>
        <w:spacing w:line="590" w:lineRule="exact"/>
        <w:ind w:firstLine="640"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pStyle w:val="4"/>
        <w:widowControl/>
        <w:spacing w:line="620" w:lineRule="exact"/>
        <w:ind w:left="420" w:leftChars="200" w:firstLine="640" w:firstLineChars="200"/>
        <w:jc w:val="both"/>
        <w:rPr>
          <w:rFonts w:hint="eastAsia" w:ascii="仿宋_GB2312" w:hAnsi="仿宋_GB2312" w:eastAsia="仿宋_GB2312" w:cs="仿宋_GB2312"/>
          <w:sz w:val="32"/>
          <w:szCs w:val="32"/>
        </w:rPr>
      </w:pPr>
      <w:r>
        <w:rPr>
          <w:rStyle w:val="7"/>
          <w:rFonts w:ascii="仿宋_GB2312" w:hAnsi="宋体" w:eastAsia="仿宋_GB2312" w:cs="宋体"/>
          <w:b w:val="0"/>
          <w:bCs/>
          <w:kern w:val="2"/>
          <w:sz w:val="32"/>
          <w:szCs w:val="32"/>
        </w:rPr>
        <w:t>绩效管理成效显著。</w:t>
      </w:r>
      <w:r>
        <w:rPr>
          <w:rStyle w:val="7"/>
          <w:rFonts w:hint="eastAsia" w:ascii="仿宋_GB2312" w:hAnsi="宋体" w:eastAsia="仿宋_GB2312" w:cs="宋体"/>
          <w:b w:val="0"/>
          <w:bCs/>
          <w:kern w:val="2"/>
          <w:sz w:val="32"/>
          <w:szCs w:val="32"/>
        </w:rPr>
        <w:t>根据对</w:t>
      </w:r>
      <w:r>
        <w:rPr>
          <w:rFonts w:hint="eastAsia" w:ascii="仿宋_GB2312" w:hAnsi="宋体" w:eastAsia="仿宋_GB2312" w:cs="宋体"/>
          <w:color w:val="000000"/>
          <w:sz w:val="32"/>
          <w:szCs w:val="32"/>
        </w:rPr>
        <w:t>我镇20</w:t>
      </w:r>
      <w:r>
        <w:rPr>
          <w:rFonts w:hint="eastAsia" w:ascii="仿宋_GB2312" w:hAnsi="宋体" w:eastAsia="仿宋_GB2312" w:cs="宋体"/>
          <w:color w:val="000000"/>
          <w:sz w:val="32"/>
          <w:szCs w:val="32"/>
          <w:lang w:val="en-US" w:eastAsia="zh-CN"/>
        </w:rPr>
        <w:t>20</w:t>
      </w:r>
      <w:r>
        <w:rPr>
          <w:rFonts w:hint="eastAsia" w:ascii="仿宋_GB2312" w:hAnsi="宋体" w:eastAsia="仿宋_GB2312" w:cs="宋体"/>
          <w:color w:val="000000"/>
          <w:sz w:val="32"/>
          <w:szCs w:val="32"/>
        </w:rPr>
        <w:t>年几个预算重点项目进行绩效目标考评，项目支出都完成了较好地完成了既定目标，取得了良好的经济与社会效益。</w:t>
      </w:r>
    </w:p>
    <w:p>
      <w:pPr>
        <w:widowControl/>
        <w:spacing w:line="590" w:lineRule="exact"/>
        <w:ind w:firstLine="640"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pStyle w:val="4"/>
        <w:widowControl/>
        <w:spacing w:line="620" w:lineRule="exact"/>
        <w:jc w:val="both"/>
        <w:rPr>
          <w:rFonts w:hint="eastAsia" w:ascii="仿宋_GB2312" w:hAnsi="仿宋_GB2312" w:eastAsia="仿宋_GB2312" w:cs="仿宋_GB2312"/>
          <w:sz w:val="32"/>
          <w:szCs w:val="32"/>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607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643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105.93</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增加污水处理厂设计费</w:t>
      </w:r>
      <w:r>
        <w:rPr>
          <w:rFonts w:hint="eastAsia" w:ascii="仿宋_GB2312" w:hAnsi="仿宋_GB2312" w:eastAsia="仿宋_GB2312" w:cs="仿宋_GB2312"/>
          <w:sz w:val="32"/>
          <w:szCs w:val="32"/>
          <w:lang w:val="en-US" w:eastAsia="zh-CN"/>
        </w:rPr>
        <w:t>63万元。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970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959.82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98.95</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年度机关运行经费支出</w:t>
      </w:r>
      <w:r>
        <w:rPr>
          <w:rFonts w:hint="eastAsia" w:ascii="仿宋_GB2312" w:hAnsi="仿宋_GB2312" w:eastAsia="仿宋_GB2312" w:cs="仿宋_GB2312"/>
          <w:sz w:val="32"/>
          <w:szCs w:val="32"/>
          <w:highlight w:val="none"/>
          <w:lang w:val="en-US" w:eastAsia="zh-CN"/>
        </w:rPr>
        <w:t>959.82</w:t>
      </w:r>
      <w:r>
        <w:rPr>
          <w:rFonts w:hint="eastAsia" w:ascii="仿宋_GB2312" w:hAnsi="仿宋_GB2312" w:eastAsia="仿宋_GB2312" w:cs="仿宋_GB2312"/>
          <w:sz w:val="32"/>
          <w:szCs w:val="32"/>
          <w:highlight w:val="none"/>
        </w:rPr>
        <w:t>万元，较上年度增加</w:t>
      </w:r>
      <w:r>
        <w:rPr>
          <w:rFonts w:hint="eastAsia" w:ascii="仿宋_GB2312" w:hAnsi="仿宋_GB2312" w:eastAsia="仿宋_GB2312" w:cs="仿宋_GB2312"/>
          <w:sz w:val="32"/>
          <w:szCs w:val="32"/>
          <w:highlight w:val="none"/>
          <w:lang w:val="en-US" w:eastAsia="zh-CN"/>
        </w:rPr>
        <w:t>274.82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28.57</w:t>
      </w:r>
      <w:r>
        <w:rPr>
          <w:rFonts w:hint="eastAsia" w:ascii="仿宋_GB2312" w:hAnsi="仿宋_GB2312" w:eastAsia="仿宋_GB2312" w:cs="仿宋_GB2312"/>
          <w:sz w:val="32"/>
          <w:szCs w:val="32"/>
          <w:highlight w:val="none"/>
        </w:rPr>
        <w:t>%。增加的主要原因是</w:t>
      </w:r>
      <w:r>
        <w:rPr>
          <w:rFonts w:hint="eastAsia" w:ascii="仿宋_GB2312" w:hAnsi="仿宋_GB2312" w:eastAsia="仿宋_GB2312" w:cs="仿宋_GB2312"/>
          <w:sz w:val="32"/>
          <w:szCs w:val="32"/>
          <w:highlight w:val="none"/>
          <w:lang w:eastAsia="zh-CN"/>
        </w:rPr>
        <w:t>本年维修项目增加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年期末，我部门共有车辆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微软雅黑"/>
    <w:panose1 w:val="02010609030101010101"/>
    <w:charset w:val="86"/>
    <w:family w:val="modern"/>
    <w:pitch w:val="default"/>
    <w:sig w:usb0="00000000" w:usb1="00000000" w:usb2="00000000" w:usb3="00000000" w:csb0="00040000" w:csb1="00000000"/>
  </w:font>
  <w:font w:name="仿宋_GB2312">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90idMBAAClAwAADgAAAGRycy9lMm9Eb2MueG1srVNLbtswEN0XyB0I&#10;7mMpQly4guWggZGiQNEWSHsAmiItAvyBQ1vyBdobdNVN9z2Xz9EhJTlFusmiG2p+fDPvcbS+G4wm&#10;RxFAOdvQm0VJibDctcruG/r1y8P1ihKIzLZMOysaehJA7zZXr9a9r0XlOqdbEQiCWKh739AuRl8X&#10;BfBOGAYL54XFpHTBsIhu2BdtYD2iG11UZfm66F1ofXBcAGB0OybphBheAuikVFxsHT8YYeOIGoRm&#10;ESlBpzzQTZ5WSsHjJylBRKIbikxjPrEJ2rt0Fps1q/eB+U7xaQT2khGecTJMWWx6gdqyyMghqH+g&#10;jOLBgZNxwZ0pRiJZEWRxUz7T5rFjXmQuKDX4i+jw/2D5x+PnQFSLm0CJZQYf/Pzj+/nn7/Ovb6Qq&#10;l7dJod5DjYWPHkvjcO+GVD3FAYOJ+CCDSV+kRDCP+p4u+oohEp4urarVqsQUx9zsIE7xdN0HiO+E&#10;MyQZDQ34gFlXdvwAcSydS1I36x6U1hhntbakb+ibZbXMFy4ZBNcWeyQS47DJisNumBjsXHtCYj0u&#10;QUMt7jwl+r1FjdO+zEaYjd1sHHxQ+y4vVGoP/u0h4jR5yNRhhJ0a4+tlmtOmpfX4289VT3/X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wF90idMBAACl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95XH9QBAACl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bBx8UPsuL1TqBPyHQ8RucpOpwgg7FcbpZZrTpqX1+NvPWU9/1+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PeVx/UAQAApQMAAA4AAAAAAAAAAQAgAAAAHgEA&#10;AGRycy9lMm9Eb2MueG1sUEsFBgAAAAAGAAYAWQEAAGQ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4aatQBAAClAwAADgAAAGRycy9lMm9Eb2MueG1srVPNjtMwEL4j7TtY&#10;vm+TzaqoRHVXrKpFSAiQFh7AdZzGkv/kcZv0BeANOHHhznP1ORg7SRctlz1wcWY842/m+2ayvhuM&#10;JkcZQDnL6M2ipERa4Rpl94x+/fJwvaIEIrcN185KRk8S6N3m6tW697WsXOd0IwNBEAt17xntYvR1&#10;UYDopOGwcF5aDLYuGB7RDfuiCbxHdKOLqixfF70LjQ9OSAC83Y5BOiGGlwC6tlVCbp04GGnjiBqk&#10;5hEpQac80E3utm2liJ/aFmQkmlFkGvOJRdDepbPYrHm9D9x3Skwt8Je08IyT4cpi0QvUlkdODkH9&#10;A2WUCA5cGxfCmWIkkhVBFjflM20eO+5l5oJSg7+IDv8PVnw8fg5ENYzeUmK5wYGff3w///x9/vWN&#10;VOVymRTqPdSY+OgxNQ73bsC9me8BLxPxoQ0mfZESwTjqe7roK4dIRHq0qlarEkMCY7OD+MXTcx8g&#10;vpPOkGQwGnCAWVd+/ABxTJ1TUjXrHpTWeYjakp7RN8tqmR9cIgiuLdZIJMZmkxWH3TAx27nmhMR6&#10;XAJGLe48Jfq9RY3TvsxGmI3dbBx8UPsuL1TqBPzbQ8RucpOpwgg7FcbpZZrTpqX1+NvPWU9/1+Y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BuuGmrUAQAApQMAAA4AAAAAAAAAAQAgAAAAH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551D4C"/>
    <w:multiLevelType w:val="singleLevel"/>
    <w:tmpl w:val="3D551D4C"/>
    <w:lvl w:ilvl="0" w:tentative="0">
      <w:start w:val="3"/>
      <w:numFmt w:val="decimal"/>
      <w:lvlText w:val="%1."/>
      <w:lvlJc w:val="left"/>
      <w:pPr>
        <w:tabs>
          <w:tab w:val="left" w:pos="312"/>
        </w:tabs>
      </w:p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3700"/>
    <w:rsid w:val="023F1583"/>
    <w:rsid w:val="06097928"/>
    <w:rsid w:val="068A502B"/>
    <w:rsid w:val="11E07CBD"/>
    <w:rsid w:val="14BF47CF"/>
    <w:rsid w:val="1C7B3DBD"/>
    <w:rsid w:val="1CD11A0F"/>
    <w:rsid w:val="1CF40493"/>
    <w:rsid w:val="1E0A6142"/>
    <w:rsid w:val="21DC286A"/>
    <w:rsid w:val="22617E3E"/>
    <w:rsid w:val="240E06F2"/>
    <w:rsid w:val="2C250F60"/>
    <w:rsid w:val="2D5347F6"/>
    <w:rsid w:val="34BB2AED"/>
    <w:rsid w:val="3DCF4F4C"/>
    <w:rsid w:val="3DFC2286"/>
    <w:rsid w:val="3E4C25CA"/>
    <w:rsid w:val="42984050"/>
    <w:rsid w:val="4701142B"/>
    <w:rsid w:val="47866D7F"/>
    <w:rsid w:val="497A2108"/>
    <w:rsid w:val="4CC87D6C"/>
    <w:rsid w:val="4EFC09E4"/>
    <w:rsid w:val="4FD71023"/>
    <w:rsid w:val="53AF09F9"/>
    <w:rsid w:val="587F2E51"/>
    <w:rsid w:val="5D2D2D08"/>
    <w:rsid w:val="605D5BD8"/>
    <w:rsid w:val="61D83253"/>
    <w:rsid w:val="6D9C37AF"/>
    <w:rsid w:val="6DA52EB8"/>
    <w:rsid w:val="6F1462C0"/>
    <w:rsid w:val="70D709D4"/>
    <w:rsid w:val="727E6F98"/>
    <w:rsid w:val="73801A47"/>
    <w:rsid w:val="78934E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annotation reference"/>
    <w:basedOn w:val="6"/>
    <w:qFormat/>
    <w:uiPriority w:val="0"/>
    <w:rPr>
      <w:sz w:val="21"/>
      <w:szCs w:val="21"/>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eastAsia" w:ascii="宋体" w:hAnsi="宋体" w:eastAsia="宋体" w:cs="宋体"/>
      <w:color w:val="000000"/>
      <w:sz w:val="22"/>
      <w:szCs w:val="22"/>
      <w:u w:val="none"/>
    </w:rPr>
  </w:style>
  <w:style w:type="character" w:customStyle="1" w:styleId="11">
    <w:name w:val="font51"/>
    <w:basedOn w:val="6"/>
    <w:qFormat/>
    <w:uiPriority w:val="0"/>
    <w:rPr>
      <w:rFonts w:hint="eastAsia" w:ascii="宋体" w:hAnsi="宋体" w:eastAsia="宋体" w:cs="宋体"/>
      <w:color w:val="000000"/>
      <w:sz w:val="24"/>
      <w:szCs w:val="24"/>
      <w:u w:val="none"/>
    </w:rPr>
  </w:style>
  <w:style w:type="character" w:customStyle="1" w:styleId="12">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雪石榴</cp:lastModifiedBy>
  <cp:lastPrinted>2021-11-02T07:23:00Z</cp:lastPrinted>
  <dcterms:modified xsi:type="dcterms:W3CDTF">2021-11-03T00:41:05Z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C7CC85F933AE48578A4890A8DC232B7A</vt:lpwstr>
  </property>
</Properties>
</file>